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67" w:rsidRDefault="00802167">
      <w:pPr>
        <w:rPr>
          <w:rFonts w:ascii="Times New Roman" w:hAnsi="Times New Roman" w:cs="Times New Roman"/>
          <w:sz w:val="36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802167" w:rsidTr="00802167">
        <w:tc>
          <w:tcPr>
            <w:tcW w:w="2547" w:type="dxa"/>
          </w:tcPr>
          <w:p w:rsidR="00802167" w:rsidRDefault="0080216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7513" w:type="dxa"/>
          </w:tcPr>
          <w:p w:rsidR="00802167" w:rsidRPr="00802167" w:rsidRDefault="00802167" w:rsidP="00802167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02167">
              <w:rPr>
                <w:rFonts w:ascii="Times New Roman" w:hAnsi="Times New Roman" w:cs="Times New Roman"/>
                <w:sz w:val="28"/>
              </w:rPr>
              <w:t>Федеральное агентство научных организаций Федеральное государственное бюджетное учреждение Институт социально-экономического развития территорий Российской академии наук</w:t>
            </w: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  <w:r w:rsidRPr="00802167">
              <w:rPr>
                <w:rFonts w:ascii="Times New Roman" w:hAnsi="Times New Roman" w:cs="Times New Roman"/>
                <w:sz w:val="36"/>
              </w:rPr>
              <w:t>Информационно-аналитический материал по итогам реализации научного проекта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  <w:r w:rsidRPr="00802167">
              <w:rPr>
                <w:rFonts w:ascii="Times New Roman" w:hAnsi="Times New Roman" w:cs="Times New Roman"/>
                <w:sz w:val="36"/>
              </w:rPr>
              <w:t xml:space="preserve"> </w:t>
            </w: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P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  <w:r w:rsidRPr="00802167">
              <w:rPr>
                <w:rFonts w:ascii="Times New Roman" w:hAnsi="Times New Roman" w:cs="Times New Roman"/>
                <w:sz w:val="36"/>
              </w:rPr>
              <w:t>КАЧЕСТВО ДЕТСКОГО НАСЕЛЕНИЯ В КОНТЕКСТЕ МОДЕРНИЗАЦИИ РОССИИ</w:t>
            </w:r>
          </w:p>
          <w:p w:rsidR="00802167" w:rsidRP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Default="00802167" w:rsidP="00802167">
            <w:pPr>
              <w:rPr>
                <w:rFonts w:ascii="Times New Roman" w:hAnsi="Times New Roman" w:cs="Times New Roman"/>
                <w:sz w:val="36"/>
              </w:rPr>
            </w:pPr>
          </w:p>
          <w:p w:rsidR="00802167" w:rsidRPr="0015652D" w:rsidRDefault="00802167" w:rsidP="0080216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5652D">
              <w:rPr>
                <w:rFonts w:ascii="Times New Roman" w:hAnsi="Times New Roman" w:cs="Times New Roman"/>
                <w:sz w:val="28"/>
              </w:rPr>
              <w:t xml:space="preserve">Исследование проведено при </w:t>
            </w:r>
          </w:p>
          <w:p w:rsidR="00802167" w:rsidRPr="0015652D" w:rsidRDefault="00802167" w:rsidP="0080216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5652D">
              <w:rPr>
                <w:rFonts w:ascii="Times New Roman" w:hAnsi="Times New Roman" w:cs="Times New Roman"/>
                <w:sz w:val="28"/>
              </w:rPr>
              <w:t xml:space="preserve">финансовой поддержке </w:t>
            </w:r>
          </w:p>
          <w:p w:rsidR="00802167" w:rsidRPr="0015652D" w:rsidRDefault="00802167" w:rsidP="0080216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5652D">
              <w:rPr>
                <w:rFonts w:ascii="Times New Roman" w:hAnsi="Times New Roman" w:cs="Times New Roman"/>
                <w:sz w:val="28"/>
              </w:rPr>
              <w:t xml:space="preserve">Российского научного </w:t>
            </w:r>
          </w:p>
          <w:p w:rsidR="00802167" w:rsidRDefault="00802167" w:rsidP="00802167">
            <w:pPr>
              <w:jc w:val="right"/>
              <w:rPr>
                <w:rFonts w:ascii="Times New Roman" w:hAnsi="Times New Roman" w:cs="Times New Roman"/>
                <w:sz w:val="36"/>
              </w:rPr>
            </w:pPr>
            <w:r w:rsidRPr="0015652D">
              <w:rPr>
                <w:rFonts w:ascii="Times New Roman" w:hAnsi="Times New Roman" w:cs="Times New Roman"/>
                <w:sz w:val="28"/>
              </w:rPr>
              <w:t>фонда (проект №14-18-03120)</w:t>
            </w:r>
          </w:p>
        </w:tc>
      </w:tr>
    </w:tbl>
    <w:p w:rsidR="00802167" w:rsidRDefault="00802167">
      <w:pPr>
        <w:rPr>
          <w:rFonts w:ascii="Times New Roman" w:hAnsi="Times New Roman" w:cs="Times New Roman"/>
          <w:sz w:val="36"/>
        </w:rPr>
      </w:pPr>
    </w:p>
    <w:p w:rsidR="00802167" w:rsidRDefault="00802167" w:rsidP="00802167">
      <w:pPr>
        <w:jc w:val="center"/>
        <w:rPr>
          <w:rFonts w:ascii="Times New Roman" w:hAnsi="Times New Roman" w:cs="Times New Roman"/>
          <w:sz w:val="28"/>
        </w:rPr>
      </w:pPr>
    </w:p>
    <w:p w:rsidR="00802167" w:rsidRDefault="00802167" w:rsidP="00802167">
      <w:pPr>
        <w:jc w:val="center"/>
        <w:rPr>
          <w:rFonts w:ascii="Times New Roman" w:hAnsi="Times New Roman" w:cs="Times New Roman"/>
          <w:sz w:val="28"/>
        </w:rPr>
      </w:pPr>
    </w:p>
    <w:p w:rsidR="00802167" w:rsidRDefault="00802167" w:rsidP="00802167">
      <w:pPr>
        <w:jc w:val="center"/>
        <w:rPr>
          <w:rFonts w:ascii="Times New Roman" w:hAnsi="Times New Roman" w:cs="Times New Roman"/>
          <w:sz w:val="28"/>
        </w:rPr>
      </w:pPr>
    </w:p>
    <w:p w:rsidR="00802167" w:rsidRDefault="00802167" w:rsidP="003336AA">
      <w:pPr>
        <w:rPr>
          <w:rFonts w:ascii="Times New Roman" w:hAnsi="Times New Roman" w:cs="Times New Roman"/>
          <w:sz w:val="28"/>
        </w:rPr>
      </w:pPr>
    </w:p>
    <w:p w:rsidR="009249BA" w:rsidRDefault="00802167" w:rsidP="00005E70">
      <w:pPr>
        <w:jc w:val="center"/>
        <w:rPr>
          <w:rFonts w:ascii="Times New Roman" w:hAnsi="Times New Roman" w:cs="Times New Roman"/>
          <w:sz w:val="28"/>
        </w:rPr>
      </w:pPr>
      <w:r w:rsidRPr="00802167">
        <w:rPr>
          <w:rFonts w:ascii="Times New Roman" w:hAnsi="Times New Roman" w:cs="Times New Roman"/>
          <w:sz w:val="28"/>
        </w:rPr>
        <w:t>Вологда 2016</w:t>
      </w:r>
    </w:p>
    <w:p w:rsidR="0007552E" w:rsidRPr="0007552E" w:rsidRDefault="0007552E" w:rsidP="00FB5A50">
      <w:pPr>
        <w:jc w:val="center"/>
        <w:rPr>
          <w:rFonts w:ascii="Times New Roman" w:hAnsi="Times New Roman" w:cs="Times New Roman"/>
          <w:sz w:val="28"/>
        </w:rPr>
      </w:pPr>
      <w:r w:rsidRPr="0007552E">
        <w:rPr>
          <w:rFonts w:ascii="Times New Roman" w:hAnsi="Times New Roman" w:cs="Times New Roman"/>
          <w:sz w:val="28"/>
        </w:rPr>
        <w:lastRenderedPageBreak/>
        <w:t xml:space="preserve">*** </w:t>
      </w:r>
    </w:p>
    <w:p w:rsidR="009249BA" w:rsidRDefault="0007552E" w:rsidP="00075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52E">
        <w:rPr>
          <w:rFonts w:ascii="Times New Roman" w:hAnsi="Times New Roman" w:cs="Times New Roman"/>
          <w:sz w:val="28"/>
        </w:rPr>
        <w:t>С 2014 г. в Институте социально-экономического развития территорий РАН при финансовой поддержке Российского научного фонда реализуется научный проект №14-18-03120 «Качество детского населения в контексте модернизации России», который направлен на поиск резервов сохранения и развития человеческого потенциала стран</w:t>
      </w:r>
      <w:r>
        <w:rPr>
          <w:rFonts w:ascii="Times New Roman" w:hAnsi="Times New Roman" w:cs="Times New Roman"/>
          <w:sz w:val="28"/>
        </w:rPr>
        <w:t>ы для ускорения обеспечения по</w:t>
      </w:r>
      <w:r w:rsidRPr="0007552E">
        <w:rPr>
          <w:rFonts w:ascii="Times New Roman" w:hAnsi="Times New Roman" w:cs="Times New Roman"/>
          <w:sz w:val="28"/>
        </w:rPr>
        <w:t>ступательного развития экономики. Актуальность исследования обусловлена существованием вызовов, связанных с сокращением численности детского населения в стране в целом и в отдельных регионах, устойчивыми не</w:t>
      </w:r>
      <w:r>
        <w:rPr>
          <w:rFonts w:ascii="Times New Roman" w:hAnsi="Times New Roman" w:cs="Times New Roman"/>
          <w:sz w:val="28"/>
        </w:rPr>
        <w:t>гативными тенденциями в состоя</w:t>
      </w:r>
      <w:r w:rsidRPr="0007552E">
        <w:rPr>
          <w:rFonts w:ascii="Times New Roman" w:hAnsi="Times New Roman" w:cs="Times New Roman"/>
          <w:sz w:val="28"/>
        </w:rPr>
        <w:t>нии здоровья, характеризующимися высоким уровнем заболеваемости и преждевременной смертности (в том числе материнской и младенческой), приводящими к масштабным экономически</w:t>
      </w:r>
      <w:r>
        <w:rPr>
          <w:rFonts w:ascii="Times New Roman" w:hAnsi="Times New Roman" w:cs="Times New Roman"/>
          <w:sz w:val="28"/>
        </w:rPr>
        <w:t>м потерям для территорий. Науч</w:t>
      </w:r>
      <w:r w:rsidRPr="0007552E">
        <w:rPr>
          <w:rFonts w:ascii="Times New Roman" w:hAnsi="Times New Roman" w:cs="Times New Roman"/>
          <w:sz w:val="28"/>
        </w:rPr>
        <w:t>ная новизна поставленной задачи заключа</w:t>
      </w:r>
      <w:r>
        <w:rPr>
          <w:rFonts w:ascii="Times New Roman" w:hAnsi="Times New Roman" w:cs="Times New Roman"/>
          <w:sz w:val="28"/>
        </w:rPr>
        <w:t>ется в выявлении проблем сохра</w:t>
      </w:r>
      <w:r w:rsidRPr="0007552E">
        <w:rPr>
          <w:rFonts w:ascii="Times New Roman" w:hAnsi="Times New Roman" w:cs="Times New Roman"/>
          <w:sz w:val="28"/>
        </w:rPr>
        <w:t>нения и развития человеческого потенциала и факторов, их обуславли</w:t>
      </w:r>
      <w:r>
        <w:rPr>
          <w:rFonts w:ascii="Times New Roman" w:hAnsi="Times New Roman" w:cs="Times New Roman"/>
          <w:sz w:val="28"/>
        </w:rPr>
        <w:t>ваю</w:t>
      </w:r>
      <w:r w:rsidRPr="0007552E">
        <w:rPr>
          <w:rFonts w:ascii="Times New Roman" w:hAnsi="Times New Roman" w:cs="Times New Roman"/>
          <w:sz w:val="28"/>
        </w:rPr>
        <w:t>щих; научном обосновании механизмов по</w:t>
      </w:r>
      <w:r>
        <w:rPr>
          <w:rFonts w:ascii="Times New Roman" w:hAnsi="Times New Roman" w:cs="Times New Roman"/>
          <w:sz w:val="28"/>
        </w:rPr>
        <w:t>вышения человеческого потенциа</w:t>
      </w:r>
      <w:r w:rsidRPr="0007552E">
        <w:rPr>
          <w:rFonts w:ascii="Times New Roman" w:hAnsi="Times New Roman" w:cs="Times New Roman"/>
          <w:sz w:val="28"/>
        </w:rPr>
        <w:t>ла и модернизационного развития страны через качественные изменения населения.</w:t>
      </w:r>
    </w:p>
    <w:p w:rsidR="0007552E" w:rsidRPr="0007552E" w:rsidRDefault="0007552E" w:rsidP="00075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52E">
        <w:rPr>
          <w:rFonts w:ascii="Times New Roman" w:hAnsi="Times New Roman" w:cs="Times New Roman"/>
          <w:sz w:val="28"/>
        </w:rPr>
        <w:t>В 201</w:t>
      </w:r>
      <w:r>
        <w:rPr>
          <w:rFonts w:ascii="Times New Roman" w:hAnsi="Times New Roman" w:cs="Times New Roman"/>
          <w:sz w:val="28"/>
        </w:rPr>
        <w:t>6</w:t>
      </w:r>
      <w:r w:rsidRPr="0007552E">
        <w:rPr>
          <w:rFonts w:ascii="Times New Roman" w:hAnsi="Times New Roman" w:cs="Times New Roman"/>
          <w:sz w:val="28"/>
        </w:rPr>
        <w:t xml:space="preserve"> г. исследование научной группы осуществлялось по ряду направлений. </w:t>
      </w:r>
      <w:r>
        <w:rPr>
          <w:rFonts w:ascii="Times New Roman" w:hAnsi="Times New Roman" w:cs="Times New Roman"/>
          <w:sz w:val="28"/>
        </w:rPr>
        <w:t xml:space="preserve">В рамках их реализации было выполнено следующее:  </w:t>
      </w:r>
    </w:p>
    <w:p w:rsidR="0007552E" w:rsidRPr="0007552E" w:rsidRDefault="0007552E" w:rsidP="00005E7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Осуществлена доработка и модификация ИАС «Модернизация». На ее основе создана Информационно-аналитическая система мониторинга социо-демографических характеристик населения и модернизации регионов России «Население и Модернизация» (далее ИАС «НиМ»). </w:t>
      </w:r>
      <w:r w:rsidRPr="0007552E">
        <w:rPr>
          <w:rFonts w:ascii="Times New Roman" w:eastAsia="Calibri" w:hAnsi="Times New Roman" w:cs="Times New Roman"/>
          <w:sz w:val="28"/>
          <w:szCs w:val="28"/>
        </w:rPr>
        <w:t xml:space="preserve">Система позволяет выявлять и анализировать среднесрочные и краткосрочные тренды параметров модернизации, исследовать </w:t>
      </w:r>
      <w:r w:rsidRPr="0007552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качественные характеристики детского населения и человеческого потенциала </w:t>
      </w:r>
      <w:r w:rsidRPr="0007552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 регионах России. </w:t>
      </w: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ИАС «НиМ» </w:t>
      </w:r>
      <w:r w:rsidRPr="0007552E">
        <w:rPr>
          <w:rFonts w:ascii="Times New Roman" w:eastAsia="Calibri" w:hAnsi="Times New Roman" w:cs="Times New Roman"/>
          <w:spacing w:val="-1"/>
          <w:sz w:val="28"/>
          <w:szCs w:val="28"/>
        </w:rPr>
        <w:t>расширяет возможности анализа статистических и социологических данных, позволяя сочетать и сопоставлять характеристики модернизованности территорий, демографического благополучия (</w:t>
      </w:r>
      <w:r w:rsidRPr="0007552E">
        <w:rPr>
          <w:rFonts w:ascii="Times New Roman" w:eastAsia="Calibri" w:hAnsi="Times New Roman" w:cs="Times New Roman"/>
          <w:sz w:val="28"/>
          <w:szCs w:val="28"/>
        </w:rPr>
        <w:t>совокупность качественных и количественных характеристик населения, выражающихся в структуре населения, социальной специфики и мобильности населения</w:t>
      </w:r>
      <w:r w:rsidRPr="0007552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), качества детского населения (совокупность </w:t>
      </w:r>
      <w:r w:rsidRPr="0007552E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количественных и качественных параметров когорты). </w:t>
      </w:r>
      <w:r w:rsidRPr="0007552E">
        <w:rPr>
          <w:rFonts w:ascii="Times New Roman" w:eastAsia="Calibri" w:hAnsi="Times New Roman" w:cs="Times New Roman"/>
          <w:sz w:val="28"/>
          <w:szCs w:val="28"/>
        </w:rPr>
        <w:t xml:space="preserve">ИАС «НиМ» позволяет генерировать и анализировать соответствующие интегральные индексы: модернизированности территории (13 индексов формируются из таблиц экспорта ИС «Модернизация» </w:t>
      </w:r>
      <w:hyperlink r:id="rId8" w:history="1">
        <w:r w:rsidRPr="0007552E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http://mod.vscc.ac.ru/</w:t>
        </w:r>
      </w:hyperlink>
      <w:r w:rsidRPr="0007552E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Pr="0007552E">
        <w:rPr>
          <w:rFonts w:ascii="Times New Roman" w:eastAsia="Calibri" w:hAnsi="Times New Roman" w:cs="Times New Roman"/>
          <w:sz w:val="28"/>
          <w:szCs w:val="28"/>
        </w:rPr>
        <w:t>; индекс демографического благополучия (Идб) и индекс потенциала детского поколения (Ипдп). ИАС «НиМ» позволяет определять факторы, тормозящие или стимулирующие анализируемые процессы в каждом регионе, ранжировать регионы, визуализировать полученные результаты в виде цветных карто-схем. ИАС «НиМ» предполагает возможность ее дистанционного использования заинтересованными исследователями.</w:t>
      </w:r>
    </w:p>
    <w:p w:rsidR="0007552E" w:rsidRPr="0007552E" w:rsidRDefault="0007552E" w:rsidP="00005E7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2E">
        <w:rPr>
          <w:rFonts w:ascii="Times New Roman" w:eastAsia="Calibri" w:hAnsi="Times New Roman" w:cs="Times New Roman"/>
          <w:sz w:val="28"/>
          <w:szCs w:val="28"/>
        </w:rPr>
        <w:t xml:space="preserve">Проведен очередной этап мониторинга когорт детей 1998 г.р., 2001 г.р., 2004 г.р., 2014 г.р. На момент обследования данным детям исполнилось 18, 15, 12 лет и 2 года соответственно. Объем выборки составил 350 семей с детьми (семей с детьми 1998 г.р. – 28, 2001 г.р. – 54, 2004 г.р. – 58, 2014 г.р. – 210). Территория исследования – города Вологда. (административный центр Вологодской области), Череповец (экономический центр), Великий Устюг, Кириллов, п.г.т. Вожега. Сформирована база данных, </w:t>
      </w: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ее первичный и углубленный анализ.</w:t>
      </w:r>
      <w:r w:rsidRPr="0007552E">
        <w:rPr>
          <w:rFonts w:ascii="Times New Roman" w:eastAsia="Calibri" w:hAnsi="Times New Roman" w:cs="Times New Roman"/>
          <w:sz w:val="28"/>
          <w:szCs w:val="28"/>
        </w:rPr>
        <w:t xml:space="preserve"> Отдельно проанализированы данные о состоянии здоровья детей и социально-экономическом положении семей в когорте</w:t>
      </w: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г.р. в конце второго года жизни. Проведен углубленный анализ влияния модернизационных процессов на здоровье детского населения. Сформулированы рекомендации по сохранению и укреплению здоровья детей.</w:t>
      </w:r>
      <w:r w:rsidRPr="000755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552E" w:rsidRPr="0007552E" w:rsidRDefault="0007552E" w:rsidP="00005E7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Обобщены данные социологических опросов студентов высших и средних профессиональных образовательных организаций г. Вологды, а также комплексного обследования детей среднего и старшего подросткового возраста, обучающихся в Научно-образовательном центре ИСЭРТ РАН (8–11 классы), осуществленных в 2015 году. </w:t>
      </w:r>
      <w:r w:rsidRPr="0007552E">
        <w:rPr>
          <w:rFonts w:ascii="Times New Roman" w:eastAsia="Calibri" w:hAnsi="Times New Roman" w:cs="Times New Roman"/>
          <w:sz w:val="28"/>
        </w:rPr>
        <w:t>Проведён углубленный анализ по компетенциям, трудоустройству по специальности в зависимости от разных параметров, профориентации, факторам успешности и социализации.</w:t>
      </w: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52E" w:rsidRPr="0007552E" w:rsidRDefault="0007552E" w:rsidP="00005E7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 углубленный анализ эмпирических данных, полученных в ходе </w:t>
      </w:r>
      <w:r w:rsidRPr="0007552E">
        <w:rPr>
          <w:rFonts w:ascii="Times New Roman" w:eastAsia="Calibri" w:hAnsi="Times New Roman" w:cs="Times New Roman"/>
          <w:bCs/>
          <w:sz w:val="28"/>
          <w:szCs w:val="28"/>
        </w:rPr>
        <w:t>социологического</w:t>
      </w:r>
      <w:r w:rsidRPr="0007552E">
        <w:rPr>
          <w:rFonts w:ascii="Times New Roman" w:eastAsia="Calibri" w:hAnsi="Times New Roman" w:cs="Times New Roman"/>
          <w:sz w:val="28"/>
          <w:szCs w:val="28"/>
        </w:rPr>
        <w:t xml:space="preserve"> исследования социокультурных характеристик молодежи (</w:t>
      </w:r>
      <w:smartTag w:uri="urn:schemas-microsoft-com:office:smarttags" w:element="metricconverter">
        <w:smartTagPr>
          <w:attr w:name="ProductID" w:val="2015 г"/>
        </w:smartTagPr>
        <w:r w:rsidRPr="0007552E">
          <w:rPr>
            <w:rFonts w:ascii="Times New Roman" w:eastAsia="Calibri" w:hAnsi="Times New Roman" w:cs="Times New Roman"/>
            <w:sz w:val="28"/>
            <w:szCs w:val="28"/>
          </w:rPr>
          <w:t>2015 г</w:t>
        </w:r>
      </w:smartTag>
      <w:r w:rsidRPr="0007552E">
        <w:rPr>
          <w:rFonts w:ascii="Times New Roman" w:eastAsia="Calibri" w:hAnsi="Times New Roman" w:cs="Times New Roman"/>
          <w:sz w:val="28"/>
          <w:szCs w:val="28"/>
        </w:rPr>
        <w:t>.; объем выборки – 1000 чел.</w:t>
      </w:r>
      <w:r w:rsidRPr="0007552E">
        <w:rPr>
          <w:rFonts w:ascii="Times New Roman" w:eastAsia="Calibri" w:hAnsi="Times New Roman" w:cs="Times New Roman"/>
          <w:bCs/>
          <w:sz w:val="28"/>
          <w:szCs w:val="28"/>
        </w:rPr>
        <w:t xml:space="preserve"> в возрасте 16-29 лет включительно</w:t>
      </w:r>
      <w:r w:rsidRPr="0007552E">
        <w:rPr>
          <w:rFonts w:ascii="Times New Roman" w:eastAsia="Calibri" w:hAnsi="Times New Roman" w:cs="Times New Roman"/>
          <w:sz w:val="28"/>
          <w:szCs w:val="28"/>
        </w:rPr>
        <w:t xml:space="preserve">). Осуществлен ретроспективный анализ, который позволил выделить ряд тенденций, определяющих краткосрочные изменения в образе жизни молодого поколения. </w:t>
      </w:r>
    </w:p>
    <w:p w:rsidR="0007552E" w:rsidRPr="0007552E" w:rsidRDefault="0007552E" w:rsidP="00005E7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расширенная база данных по результатам проведенного в ноябре-декабре 2015 г. второго и третьего этапа экспертного опроса работодателей Вологодской области. Если на первом этапе были опрошены руководители хозяйствующих субъектов в 5 районах, где прогнозируется кадровый голод, то в дальнейшем анкетирование охватило территории с ожидаемым паритетом спроса и предложения рабочей силы, а также с прогнозируемым избытком кадров. В итоге в исследовании приняли участие работодатели из 13 муниципальных образований, что позволило экстраполировать результаты анализа социологических данных на всю область. Объем выборки составил 711 наблюдений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углубленный анализ данных экспертного опроса. Выявлены основные критерии отбора молодых специалистов и причины несоответствия их профессиональных навыков требованиям рабочих мест в разрезе видов экономической деятельности хозяйствующих субъектов. Определены перспективные направления сотрудничества работодателей и профессиональных образовательных организаций по вопросам привлечения наиболее подготовленных к трудовой деятельности студентов и выпускников профильных специальностей. </w:t>
      </w:r>
    </w:p>
    <w:p w:rsidR="0007552E" w:rsidRPr="0007552E" w:rsidRDefault="0007552E" w:rsidP="00005E7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основные барьеры, препятствующие более полной реализации потенциала молодежи в трудовой деятельности. Проведены расчеты, основанные на материалах мониторинга качественного состояния трудового потенциала населения Вологодской области, позволяющие оценить влияние тех или иных причин на уровень реализации трудового потенциала молодежи. В заключение в соответствии с выделенными проблемами сформулированы </w:t>
      </w: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рекомендации, направленные на комплексное содействие повышению уровня реализации потенциала молодежи в трудовой деятельности.</w:t>
      </w:r>
    </w:p>
    <w:p w:rsidR="0007552E" w:rsidRPr="0007552E" w:rsidRDefault="0007552E" w:rsidP="00005E7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 вариативный прогноз развития демографической ситуации в регионе. Для расчётов использовался метод передвижки возрастов. Предусмотрено три сценария развития ситуации: инерционный (с сохранением уровней рождаемости и смертности на уровне базового года), оптимистичный (увеличение рождаемости на 5%, снижение смертности на 5% и сохранение параметров миграции) и пессимистичный (снижение рождаемости на 5%, увеличение смертности на 5% и сохранение параметров миграции).</w:t>
      </w:r>
    </w:p>
    <w:p w:rsidR="0007552E" w:rsidRPr="0007552E" w:rsidRDefault="0007552E" w:rsidP="00005E7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концептуальное обоснование идеи монографии «Качество молодого поколения в контексте модернизации России» по результатам исследования. Её суть – расширить знания о качестве молодого поколения, детей и молодежи в период модернизационных преобразований. Разработана структура и содержание монографии. В первой главе представлен анализ тенденций модернизации в России на основе методики Китайской академии наук, определен ее гуманистический смысл и детерминированность; изложены итоги авторской разработки индексов демографического благополучия территории и потенциала детского поколения. Во второй главе проведена оценка потенциала молодежи (культурного, образовательного, трудового, потенциала здоровья) с точки зрения готовности и участия группы в модернизации. В третьей главе обобщены результаты исследования здоровья и развития детей, выявлены проблемные зоны и направления работ по формированию человеческого потенциала данной когорты, как будущих участников модернизационных преобразований. Монография «Качество молодого поколения в контексте модернизации России» передана в издательство ИСЭРТ РАН.</w:t>
      </w:r>
    </w:p>
    <w:p w:rsidR="0007552E" w:rsidRPr="0007552E" w:rsidRDefault="005965FB" w:rsidP="00005E7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основным научным результатам исследования членами научной группы был подготовлен итоговый отчет, </w:t>
      </w:r>
      <w:r w:rsidR="0007552E"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>14 публикаций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коллективную монографию «</w:t>
      </w: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молодого поколения в контексте модернизации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65FB" w:rsidRDefault="0007552E" w:rsidP="00005E7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научной группы </w:t>
      </w:r>
      <w:r w:rsid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представляли результаты исследований на научно-практических мероприятиях: </w:t>
      </w:r>
    </w:p>
    <w:p w:rsidR="005965FB" w:rsidRDefault="0007552E" w:rsidP="00005E7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 Социологическ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Грушинск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«Жизнь исследования после исследования: как сделать результаты понятными и полезными» секция: «Социология в регионе: на полку или в жизнь». А.А. Шабунова доклад «Организация и результаты мониторинга условий формирования здорового поколения»</w:t>
      </w:r>
      <w:r w:rsid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5FB" w:rsidRDefault="0007552E" w:rsidP="00005E7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VII Уральск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«Динамика и инерционность воспроизводства населения и замещени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поколений в России и СНГ» (г. 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УрО РАН, 2-3 июня 2016 г.).   Калачикова О.Н., Короленко А.В. доклад «Динамика репродуктивного поведения населения Вологодской области: опыт социологического исследования», Ласточкина М.А. доклад «Вероятные прогнозы изменения численности населения региона (на примере Вологодской области)».</w:t>
      </w:r>
    </w:p>
    <w:p w:rsidR="005965FB" w:rsidRDefault="0007552E" w:rsidP="00005E7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IV Международн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и молодежь – будущее России» (г. Вологда, ИСЭРТ РАН, 6 октября 2016 г.). Шабунова А.А. доклад «Молодежь в современной России: демографический потенциал и социальная ответственность», Калачикова О.Н., Короленко А.В. доклад «Проблема сформированности профессиональных предпочтений подростков в контексте социальной адаптации»; Устинова К.А. доклад «Уровень развития компетенций и инновационная активность молодежи».</w:t>
      </w:r>
    </w:p>
    <w:p w:rsidR="004D606B" w:rsidRDefault="0007552E" w:rsidP="00005E7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XXIII Международн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студентов, аспирантов и молодых ученых «Ломоносов» (г. Москва, МГУ им. М.В. Ломоносова, 14 апреля 2016 г.). Короленко А.В. доклад «Анализ демографических потерь вследствие смертности населения Вологодской области».</w:t>
      </w:r>
    </w:p>
    <w:p w:rsidR="004D606B" w:rsidRPr="004D606B" w:rsidRDefault="004D606B" w:rsidP="00005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направлениям позволила достигнуть научных результатов, заявленных в проекте.</w:t>
      </w:r>
    </w:p>
    <w:p w:rsidR="004D606B" w:rsidRDefault="004D606B" w:rsidP="00005E7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8AF" w:rsidRDefault="009A48AF" w:rsidP="00005E7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8AF" w:rsidRDefault="009A48AF" w:rsidP="00005E7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748" w:rsidRDefault="000F4748" w:rsidP="00005E7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8AF" w:rsidRPr="004D606B" w:rsidRDefault="009A48AF" w:rsidP="00005E7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E70" w:rsidRDefault="00005E70" w:rsidP="00005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05E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Достигнутые научные результаты в 2016 году</w:t>
      </w:r>
    </w:p>
    <w:p w:rsidR="003336AA" w:rsidRPr="00005E70" w:rsidRDefault="003336AA" w:rsidP="00005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965FB" w:rsidRPr="004D606B" w:rsidRDefault="005965FB" w:rsidP="00DD30B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 вариативный прогноз демографической ситуации в регионе</w:t>
      </w:r>
    </w:p>
    <w:p w:rsidR="0015652D" w:rsidRDefault="005965FB" w:rsidP="0015652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построенному вариативному демографическому прогнозу в регионе ожидается снижение численности населения по любому из сценариев. В случае сохранения рождаемости и смертности на уровне базового года (инерционный прогноз) к 2035 году регион потеряет 13% населения. На 17 и 18% сократится численность детей и населения трудоспособного возраста, число пожилых людей вырастет на 2%. По оптимистичному сценарию Вологодская область потеряет 11% численности населения, потери жителей младше трудоспособного возраста составят 15%, трудоспособного – 17%, численность населения старше трудоспособного возраста увеличится на 6%. Согласно пессимистичному варианту прогноза регион потеряет 15% населения. В этом случае все три возрастные группы сократят свою численность – на 13, 19 и 1% соответственно. В связи с сокращением демографического потенциала (численность когорт женщин репродуктивного возраста снизится на 20-21%) маловероятно преломление негативных трендов.  Следовательно, еще более актуальным становится повышение качества молодого поколения и населения в целом.</w:t>
      </w:r>
    </w:p>
    <w:p w:rsidR="004D606B" w:rsidRPr="0015652D" w:rsidRDefault="005965FB" w:rsidP="00DD30B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Доказана гипотеза о том, что для молодежи, проявляющей инновационную активность, свойственен отличающийся набор ценностей и иных социокультурных характеристик.</w:t>
      </w:r>
    </w:p>
    <w:p w:rsidR="005965FB" w:rsidRPr="004D606B" w:rsidRDefault="005965FB" w:rsidP="004D6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углублённого анализа социокультурных характеристик молодежи было выявлено, что для молодых людей, проявляющих инновационную активность, в меньшей степени характерны иждивенческие настроения: улучшение своей жизни они видит только в собственных усилиях (98% против 87% ответов тех, кто не участвовал в создании новшеств), меньше надеются на помощь близких родственников и друзей (на 7% и 19% соответственно). Больше опрошенных, участвовавших в </w:t>
      </w:r>
      <w:r w:rsidR="004D606B" w:rsidRPr="004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разработках</w:t>
      </w:r>
      <w:r w:rsidRPr="004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считают, что </w:t>
      </w:r>
      <w:r w:rsidRPr="004D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улучшение их жизни не зависит от районных (городских) и общероссийских властей (23 и 25% соответственно, против 10 и 11%).  </w:t>
      </w:r>
    </w:p>
    <w:p w:rsidR="005965FB" w:rsidRPr="005965FB" w:rsidRDefault="005965FB" w:rsidP="004D60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молодежи, проявляющей инновационную активность,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теми, кто не был причастен к созданию инноваций,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выражены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5FB" w:rsidRPr="005965FB" w:rsidRDefault="005965FB" w:rsidP="004D60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выбор верной стратегии профессионального самоопределения: 40% считают, что работаю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призванию (среди тех, кто не участвовал в разработках доля таких ответов 30%); их главные интересы связаны с работой (33% против 12%);</w:t>
      </w:r>
    </w:p>
    <w:p w:rsidR="005965FB" w:rsidRPr="005965FB" w:rsidRDefault="005965FB" w:rsidP="000F474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стремление к 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достойному уровню жизни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несмотря на существующие риски: они стремятся </w:t>
      </w:r>
      <w:r w:rsidR="000F4748"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собственное дело, вести его на свой страх и риск (в два раза больше ответов)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F4748"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делом своей жизни 19% новаторов считают обеспечение приличного заработка против 10% ответов тех, кто не создавал новшества;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зарабатывать, пусть даже без особых гарантий на будущее (на 7% больше ответов, в сравнении с теми, кто не 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 в создании новшеств).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5FB" w:rsidRDefault="005965FB" w:rsidP="004D60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оптимистичные настроения на ближайшее будущее (на 10% больше 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ответов 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позитивны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0F47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будущей жизни).</w:t>
      </w:r>
    </w:p>
    <w:p w:rsidR="004D606B" w:rsidRPr="004D606B" w:rsidRDefault="004D606B" w:rsidP="004D606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6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Молодежь, склонная к проявлению инновационной активности, более чем все остальные видит смысл жизни в трудовой деятельности согласно своим интересам (1 место в ранжированном списке против 6 места в противоположной группе</w:t>
      </w:r>
      <w:r w:rsidR="004B5F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5F71" w:rsidRPr="004B5F7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таблица 1</w:t>
      </w:r>
      <w:r w:rsidRPr="004D6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4D606B" w:rsidRDefault="004D606B" w:rsidP="004D606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6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этом среди молодых вологжан, которые проявляют изобретательскую активность, терминальное отношение к работе превалирует над инструментальным: 56% считают выбранную профессию своим призванием, 44% имеют противоположные взгляды. </w:t>
      </w:r>
    </w:p>
    <w:p w:rsidR="004D606B" w:rsidRPr="00DD30BD" w:rsidRDefault="004D606B" w:rsidP="003336AA">
      <w:pPr>
        <w:widowControl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606B">
        <w:rPr>
          <w:rFonts w:ascii="Times New Roman" w:eastAsia="Calibri" w:hAnsi="Times New Roman" w:cs="Times New Roman"/>
          <w:color w:val="000000"/>
          <w:sz w:val="28"/>
          <w:szCs w:val="28"/>
        </w:rPr>
        <w:t>Подобная картина проявляется также в отношении молодежи к энергичным формам жизнедеятельности (в группе инновационно-активной молодежи – 82; в противоположной группе – 73%), личностному росту (81 и 75 % соответственно), творчеству (61 и 41 %). Для первых более характерна эмоциональная сдержанность, стремление разрешать конфликты конструктивными путями (81 и 75% соответственно).</w:t>
      </w:r>
    </w:p>
    <w:p w:rsidR="004D606B" w:rsidRPr="004D606B" w:rsidRDefault="004B5F71" w:rsidP="004B5F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B5F7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lastRenderedPageBreak/>
        <w:t xml:space="preserve">Таблица 1. </w:t>
      </w:r>
      <w:r w:rsidR="004D606B" w:rsidRPr="004D606B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Ценности, разделяемые 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молодежью Вологодской области</w:t>
      </w:r>
      <w:r w:rsidR="004D606B" w:rsidRPr="004D606B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, проявляющими и не проявляющими изобретательскую активность</w:t>
      </w:r>
    </w:p>
    <w:tbl>
      <w:tblPr>
        <w:tblW w:w="9767" w:type="dxa"/>
        <w:tblInd w:w="95" w:type="dxa"/>
        <w:tblLook w:val="0000" w:firstRow="0" w:lastRow="0" w:firstColumn="0" w:lastColumn="0" w:noHBand="0" w:noVBand="0"/>
      </w:tblPr>
      <w:tblGrid>
        <w:gridCol w:w="5293"/>
        <w:gridCol w:w="1355"/>
        <w:gridCol w:w="955"/>
        <w:gridCol w:w="1122"/>
        <w:gridCol w:w="1042"/>
      </w:tblGrid>
      <w:tr w:rsidR="004D606B" w:rsidRPr="004D606B" w:rsidTr="001803BF">
        <w:trPr>
          <w:trHeight w:val="255"/>
        </w:trPr>
        <w:tc>
          <w:tcPr>
            <w:tcW w:w="5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Проявляющие изобретательскую активность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проявляющие изобретательскую активность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Интересная работа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Материальная обеспеченность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 (физическое и психическое)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хороших и верных друзей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Счастливая семейная жизнь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Активная деятельная жизнь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Свобода, независимость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Эмоциональное спокойствие, внутренняя гармония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Постоянное физическое и духовное совершенствование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Достоинство, честь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справедливость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Развлечения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Общественное положение, статус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Общественное признание, авторитет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Творчество, искусство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D606B" w:rsidRPr="004D606B" w:rsidTr="001803BF">
        <w:trPr>
          <w:trHeight w:val="25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06B" w:rsidRPr="004D606B" w:rsidRDefault="004D606B" w:rsidP="004D60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Одобрение окружающих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6B" w:rsidRPr="004D606B" w:rsidRDefault="004D606B" w:rsidP="004D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0F4748" w:rsidRDefault="000F4748" w:rsidP="004D60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D606B" w:rsidRPr="004D606B" w:rsidRDefault="004D606B" w:rsidP="004D60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606B">
        <w:rPr>
          <w:rFonts w:ascii="Times New Roman" w:eastAsia="Calibri" w:hAnsi="Times New Roman" w:cs="Times New Roman"/>
          <w:sz w:val="20"/>
          <w:szCs w:val="20"/>
        </w:rPr>
        <w:t>Примечание: в таблице приведен удельный вес молодых людей, ответивших на вопрос «Насколько важны для Вас следующие стороны жизни» следующим образом «Очень важны» и «Скорее важны».</w:t>
      </w:r>
    </w:p>
    <w:p w:rsidR="004D606B" w:rsidRPr="004D606B" w:rsidRDefault="004D606B" w:rsidP="004D60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606B">
        <w:rPr>
          <w:rFonts w:ascii="Times New Roman" w:eastAsia="Calibri" w:hAnsi="Times New Roman" w:cs="Times New Roman"/>
          <w:sz w:val="20"/>
          <w:szCs w:val="20"/>
        </w:rPr>
        <w:t>Ранжировано по столбцу «проявляющие изобретательскую активность».</w:t>
      </w:r>
    </w:p>
    <w:p w:rsidR="004D606B" w:rsidRPr="004D606B" w:rsidRDefault="004D606B" w:rsidP="004D60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06B" w:rsidRPr="004D606B" w:rsidRDefault="004D606B" w:rsidP="004D606B">
      <w:pPr>
        <w:widowControl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6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инновационной активностью у молодых людей в меньшей степени </w:t>
      </w:r>
      <w:r w:rsidR="00D03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связано </w:t>
      </w:r>
      <w:r w:rsidRPr="004D606B">
        <w:rPr>
          <w:rFonts w:ascii="Times New Roman" w:eastAsia="Calibri" w:hAnsi="Times New Roman" w:cs="Times New Roman"/>
          <w:color w:val="000000"/>
          <w:sz w:val="28"/>
          <w:szCs w:val="28"/>
        </w:rPr>
        <w:t>стремление к одобрению поступков окружающими, в большей степени – свобода действий.</w:t>
      </w:r>
    </w:p>
    <w:p w:rsidR="004D606B" w:rsidRPr="003336AA" w:rsidRDefault="004D606B" w:rsidP="003336AA">
      <w:pPr>
        <w:widowControl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06B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благодаря уникальному набору социокультурных характеристик личности группа молодежи, для котор</w:t>
      </w:r>
      <w:r w:rsidR="00D03B05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Pr="004D6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характерна активность в инновационной сфере, проявляет себя на рынке труда как ответственные, заинтересованные и стрессоустойчивые работники, внимание которых концентрируется в первую очередь на выполнении своих должностных обязанностей, налаживанию конструктивного взаимодействия с работодателем.</w:t>
      </w:r>
    </w:p>
    <w:p w:rsidR="004D606B" w:rsidRDefault="005965FB" w:rsidP="004D60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социокультурные характеристики инновационно активной молодежи, 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материальному достатку и профессиональной самореализации позволяют им добиваться более высокого уровня жизни: 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покупательная способность 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новаторов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высока – 30% отмечают, что денег хватает на всё, затруднение вызывает приобретение таких крупных объектов как дача и квартира, 43% могут себе позволить пользоваться кредитными инструментами для крупных покупок. Тогда как 50% молодых людей, не участвующих в создании новшеств, тратят всю зарплату на повседневные нужды и даже покупка одежды для них затруднительна.</w:t>
      </w:r>
    </w:p>
    <w:p w:rsidR="009A48AF" w:rsidRDefault="005965FB" w:rsidP="00D03B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определено, что в большей степени у студентов СПО и ВПО г. Вологды более развиты такие компетенции как способность к общению и взаимодействию, способность добиваться результатов, брать на себя ответственность при выполнении задач, способность учитывать нормы и ценности других культур (в среднем по выборке студентов 4 балла по пятибалльной шкале), в меньшей степени – </w:t>
      </w:r>
      <w:r w:rsidR="00D03B05"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умение прогнозировать (3,5 балла)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работы в письменной форме на 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иностранном языке (2,3 балла).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Подчеркнем, что последние из обозначенных компетенций часто оказываются более востребованными в условиях перехода к инновационной экономике. Анализ уровня развития компетенций в зависимости от курса обучения (первый и последний курсы) показал, что мало изменяются оценки общей эрудированности, мобильности и умения ориентироваться в быстро изменяющихся условиях, установки на карьерный успех. В тоже время к последнему курсу увеличивается число студентов ВПО владеющих навыками управления проектами (42 против 56%), имеющих стремление постоянно учиться (53% против 65%), высоко оценивающих свое умение работать в условиях риска и неопределенности (56 против 65%). </w:t>
      </w:r>
    </w:p>
    <w:p w:rsidR="005965FB" w:rsidRPr="005965FB" w:rsidRDefault="005965FB" w:rsidP="004D60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важные тенденции, определяющие обр</w:t>
      </w:r>
      <w:r w:rsidR="004B5F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жизни молодых людей, среди н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их:  </w:t>
      </w:r>
    </w:p>
    <w:p w:rsidR="005965FB" w:rsidRPr="005965FB" w:rsidRDefault="005965FB" w:rsidP="004D606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молодые люди все чаще видят в себе стремление быть полезными для окружающих (удельный вес считающих подобным образом увеличился вдвое – с 21% в 2012 г. до 42% в 2015 г.);</w:t>
      </w:r>
    </w:p>
    <w:p w:rsidR="005965FB" w:rsidRPr="005965FB" w:rsidRDefault="005965FB" w:rsidP="004D606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удельного веса молодых, связывающих долг Родине с созданием семьи и воспитания детей (на 9 п.п.; с 43% в 2012 г. до 52% в 2015 г.);</w:t>
      </w:r>
    </w:p>
    <w:p w:rsidR="005965FB" w:rsidRPr="005965FB" w:rsidRDefault="005965FB" w:rsidP="004D606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сокращение 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молодых, стремящихся проявить себя в общественной жизни (на 16 п.п.; с 3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4% в 2012 г. до 18 % в 2015 г.),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молодежной среде отмечается заметная готовность к реализации своего потенциала в других социальных мероприятиях: прохождение курсов повышения квалификации, изучение иностранных языков, организация бизнеса, туризм и т.д.  Причина разницы между проявлениями социальной и общественно-политической активности кроется в том, что на настоящий момент сформированы институты, активно способствующие самореализации в социальной среде (центры предпринимательства и туризма, повышения квалификации, территориального общественного самоуправления, социальные предприятия и т.д.). Они постепенно станов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новым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«агент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социализации.  В то же время, современная деятельность политических партий, профсоюзов способствует не активности в социально-политической среде, а усугублению «структурированной безответственности» (по терминологии Т. Парсонса) за судьбы региона и страны (о чем наглядно говорит явка молодежи на выборы в органы власти).</w:t>
      </w:r>
    </w:p>
    <w:p w:rsidR="005965FB" w:rsidRDefault="005965FB" w:rsidP="004D606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роли религии в сфере жизненного пространства в пользу светского мировосприятия. За 2012-2015 гг. доля молодых, не относящих себя к группе верующих, увеличилась на 10 п.п. (с 29 в 2012 г. до 39% в 2015 г.). В то же время, кризисом веры в масштабе молодежной группы данное явление назвать нельзя. Так, за период исследований удельный вес 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D03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подвергаю свою веру сомнениям,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не претерпел изменений. </w:t>
      </w:r>
    </w:p>
    <w:p w:rsidR="005965FB" w:rsidRPr="005965FB" w:rsidRDefault="005965FB" w:rsidP="004D606B">
      <w:pPr>
        <w:numPr>
          <w:ilvl w:val="0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965FB" w:rsidRPr="005965FB" w:rsidRDefault="005965FB" w:rsidP="00DD30B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Доказана гипотеза о том, что повышение эффективности системы профориентации молодежи будет способствовать их профессиональной самореализации, достижению мастерства и стимулированию инновационной активности.</w:t>
      </w:r>
    </w:p>
    <w:p w:rsidR="00DD30BD" w:rsidRDefault="004B5F71" w:rsidP="00DD30BD">
      <w:pPr>
        <w:numPr>
          <w:ilvl w:val="1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0BD" w:rsidRDefault="00DD30BD" w:rsidP="00DD3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5965FB"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углубленного анализа комплексного обследования детей среднего и старшего подросткового возраста, обучающихся в Научно-образовательном центре ИСЭРТ РАН (8–11 классы) установлено, что ключевыми проблемами в плане адекватного собственным склонностям профессионального самоопределения для подростков являются незнание условий и основных </w:t>
      </w:r>
      <w:r w:rsidR="005965FB"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требований, предъявляемых к профессии, собственных психофизиологических возможностей, а также неумение сопоставлять свои предпочтения с реальными способностями. Вместе с тем в качестве положительных моментов выявлены: достаточная самостоятельность принимаемых подростками решений при выборе профессионально-образовательного пути, преобладание мотива интереса к будущей профессии при её выборе, превалирование среди старших подростков мотивов востребованности выбранной профессии на рынке труда, её престижа, возможности постоянного повышения квалификации, а также профессионального и карьерного роста. </w:t>
      </w:r>
    </w:p>
    <w:p w:rsidR="00DD30BD" w:rsidRDefault="005965FB" w:rsidP="00DD3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 вывод о том, что в настоящее время система профориентации всё ещё не достигает своих конечных целей, а именно формирования у подростков грамотного профессионального самоопределения, соответствующего индивидуальным особенностям личности и одновременно кадровым запросам общества, его требованиям к современному работнику. </w:t>
      </w:r>
    </w:p>
    <w:p w:rsidR="005965FB" w:rsidRPr="005965FB" w:rsidRDefault="005965FB" w:rsidP="00DD3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углубленного анализа данных пилотного опроса студентов ВПО и СПО г. Вологды (октябрь-ноябрь 2015 г.) доказана важность адекватной профориентационной работы. Большинство студентов на момент обучения не владеют необходимыми знаниями о профессии, специфике будущей работы. Следствием это</w:t>
      </w:r>
      <w:r w:rsidR="0018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то, что по мере обучения становится больше тех, кто считает выбранную профессию не соответствующей своему призванию (среди студентов ВПО на 10%, среди учащихся СПО на 14%), а к последнему курсу становится меньше доля планирующих работать по специальности (среди студентов ВПО на 10%, среди СПО на 21%). </w:t>
      </w:r>
    </w:p>
    <w:p w:rsidR="005965FB" w:rsidRPr="005965FB" w:rsidRDefault="005965FB" w:rsidP="004D606B">
      <w:pPr>
        <w:numPr>
          <w:ilvl w:val="1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Показано, что на принятие решения о трудоустройстве по полученной специальности оказывает воздействие образовательный уровень и успеваемость (в условиях наличия хороших и отличных оценок в 70% случаев будет принято положительное решение относительно трудоустройства по специальности). Еще одним параметром, влияющим на трудоустройство по специальности, является выбор специальности в соответствии со способностями и склонностями. В исследовании по данным опроса студентов СПО и ВПО г. Вологды выявлено, что 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более 60% из них планируют работать по полученной специальности. Определено, что для обеспечения соответствия между получаемой специальностью и направлением подготовки следует развивать механизмы социального партнерства путем учета интересов субъектов социально-трудовых отношений, ориентации учебных заведений при наборе абитуриентов на подготовку специалистов, востребованных на рынке труда; совершенствовать систему профессиональной ориентации молодежи для обеспечения профессионального становления и эффективной профессиональной самореализации на рынке труда.</w:t>
      </w:r>
    </w:p>
    <w:p w:rsidR="005965FB" w:rsidRPr="001803BF" w:rsidRDefault="005965FB" w:rsidP="001803BF">
      <w:pPr>
        <w:numPr>
          <w:ilvl w:val="1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индексов требований рабочих мест позволил сделать вывод о том, что зачастую в условиях высокого уровня развития навыков населением выбираются такие рабочие места, на которых предъявляются более высокие требования к квалификации. В связи с этим, одной из практических задач должно быть развити</w:t>
      </w:r>
      <w:r w:rsidR="0018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профессиональной ориентации молодежи и повышения квалификации, что будет способствовать профессиональному становлению и эффективной профессиональной самореализации молодежи на рынке труда.</w:t>
      </w:r>
    </w:p>
    <w:p w:rsidR="005965FB" w:rsidRPr="009A48AF" w:rsidRDefault="005965FB" w:rsidP="004D606B">
      <w:pPr>
        <w:numPr>
          <w:ilvl w:val="1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опроса работодателей сделан вывод о том, что трудоустройство молодежи по специальности, полученной в профессиональной образовательной организации, предоставляет им больше возможностей для самореализации в трудовой деятельности.</w:t>
      </w:r>
      <w:r w:rsidRPr="0059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Профессиональная компетентность, а также развитые личностные и деловые качества молодых специалистов выступают основными критериями при трудоустройстве в хозяйствующие субъекты всех видов экономической деятельности (80 и 90% ответов работодателей соответственно). Помимо этого, важное значение при отборе кандидатов имеет их практическая готовность к труду (62%</w:t>
      </w:r>
      <w:r w:rsidR="002C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2C2530" w:rsidRPr="002C2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2</w:t>
      </w:r>
      <w:r w:rsidRPr="0059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а также наличие базового уровня компьютерной грамотности (52%). Другие факторы (диплом престижного учебного заведения, высокая академическая успеваемость, опыт научно-исследовательской деятельности и т.д.) не оказывают существенного влияния на решение о найме.</w:t>
      </w:r>
    </w:p>
    <w:p w:rsidR="009A48AF" w:rsidRDefault="009A48AF" w:rsidP="009A48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30BD" w:rsidRPr="00DD30BD" w:rsidRDefault="00DD30BD" w:rsidP="002C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30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2C253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DD30BD">
        <w:rPr>
          <w:rFonts w:ascii="Times New Roman" w:hAnsi="Times New Roman" w:cs="Times New Roman"/>
          <w:sz w:val="24"/>
          <w:szCs w:val="24"/>
          <w:lang w:eastAsia="ru-RU"/>
        </w:rPr>
        <w:t xml:space="preserve"> Распределение ответов на вопрос: «Оцените, пожалуйста, важность различных критериев при отборе молодых работников (до 30 лет) для Вашей организации» (варианты ответов «очень важно» и «довольно важно»), в %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0"/>
        <w:gridCol w:w="604"/>
        <w:gridCol w:w="616"/>
        <w:gridCol w:w="645"/>
        <w:gridCol w:w="602"/>
        <w:gridCol w:w="645"/>
        <w:gridCol w:w="633"/>
        <w:gridCol w:w="704"/>
        <w:gridCol w:w="629"/>
        <w:gridCol w:w="1043"/>
      </w:tblGrid>
      <w:tr w:rsidR="00DD30BD" w:rsidRPr="00D7375E" w:rsidTr="001803BF">
        <w:trPr>
          <w:trHeight w:val="440"/>
        </w:trPr>
        <w:tc>
          <w:tcPr>
            <w:tcW w:w="1877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308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</w:tr>
      <w:tr w:rsidR="00DD30BD" w:rsidRPr="00D7375E" w:rsidTr="001803BF">
        <w:trPr>
          <w:trHeight w:val="60"/>
        </w:trPr>
        <w:tc>
          <w:tcPr>
            <w:tcW w:w="1877" w:type="pct"/>
            <w:noWrap/>
            <w:vAlign w:val="bottom"/>
          </w:tcPr>
          <w:p w:rsidR="00DD30BD" w:rsidRPr="00D7375E" w:rsidRDefault="00DD30BD" w:rsidP="00180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компетентность</w:t>
            </w:r>
          </w:p>
        </w:tc>
        <w:tc>
          <w:tcPr>
            <w:tcW w:w="308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314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307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323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35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1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32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DD30BD" w:rsidRPr="00D7375E" w:rsidTr="001803BF">
        <w:trPr>
          <w:trHeight w:val="60"/>
        </w:trPr>
        <w:tc>
          <w:tcPr>
            <w:tcW w:w="1877" w:type="pct"/>
            <w:noWrap/>
            <w:vAlign w:val="bottom"/>
          </w:tcPr>
          <w:p w:rsidR="00DD30BD" w:rsidRPr="00D7375E" w:rsidRDefault="00DD30BD" w:rsidP="00180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Развитые личные и деловые качества</w:t>
            </w:r>
          </w:p>
        </w:tc>
        <w:tc>
          <w:tcPr>
            <w:tcW w:w="308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314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307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323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5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321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532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79,5</w:t>
            </w:r>
          </w:p>
        </w:tc>
      </w:tr>
      <w:tr w:rsidR="00DD30BD" w:rsidRPr="00D7375E" w:rsidTr="001803BF">
        <w:trPr>
          <w:trHeight w:val="300"/>
        </w:trPr>
        <w:tc>
          <w:tcPr>
            <w:tcW w:w="1877" w:type="pct"/>
            <w:noWrap/>
            <w:vAlign w:val="bottom"/>
          </w:tcPr>
          <w:p w:rsidR="00DD30BD" w:rsidRPr="00D7375E" w:rsidRDefault="00DD30BD" w:rsidP="00180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специфики деятельности организации</w:t>
            </w:r>
          </w:p>
        </w:tc>
        <w:tc>
          <w:tcPr>
            <w:tcW w:w="308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314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307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323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35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321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32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DD30BD" w:rsidRPr="00D7375E" w:rsidTr="001803BF">
        <w:trPr>
          <w:trHeight w:val="300"/>
        </w:trPr>
        <w:tc>
          <w:tcPr>
            <w:tcW w:w="1877" w:type="pct"/>
            <w:noWrap/>
            <w:vAlign w:val="bottom"/>
          </w:tcPr>
          <w:p w:rsidR="00DD30BD" w:rsidRPr="00D7375E" w:rsidRDefault="00DD30BD" w:rsidP="00180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опыта работы по специальности</w:t>
            </w:r>
          </w:p>
        </w:tc>
        <w:tc>
          <w:tcPr>
            <w:tcW w:w="308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14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307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323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35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321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532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62,1</w:t>
            </w:r>
          </w:p>
        </w:tc>
      </w:tr>
      <w:tr w:rsidR="00DD30BD" w:rsidRPr="00D7375E" w:rsidTr="001803BF">
        <w:trPr>
          <w:trHeight w:val="300"/>
        </w:trPr>
        <w:tc>
          <w:tcPr>
            <w:tcW w:w="1877" w:type="pct"/>
            <w:noWrap/>
            <w:vAlign w:val="bottom"/>
          </w:tcPr>
          <w:p w:rsidR="00DD30BD" w:rsidRPr="00D7375E" w:rsidRDefault="00DD30BD" w:rsidP="00180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уровень компьютерной грамотности</w:t>
            </w:r>
          </w:p>
        </w:tc>
        <w:tc>
          <w:tcPr>
            <w:tcW w:w="308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314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307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323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35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321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32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51,7</w:t>
            </w:r>
          </w:p>
        </w:tc>
      </w:tr>
      <w:tr w:rsidR="00DD30BD" w:rsidRPr="00D7375E" w:rsidTr="001803BF">
        <w:trPr>
          <w:trHeight w:val="300"/>
        </w:trPr>
        <w:tc>
          <w:tcPr>
            <w:tcW w:w="1877" w:type="pct"/>
            <w:noWrap/>
            <w:vAlign w:val="bottom"/>
          </w:tcPr>
          <w:p w:rsidR="00DD30BD" w:rsidRPr="00D7375E" w:rsidRDefault="00DD30BD" w:rsidP="00180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успеваемости в учебных заведениях</w:t>
            </w:r>
          </w:p>
        </w:tc>
        <w:tc>
          <w:tcPr>
            <w:tcW w:w="308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314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307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23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35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321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532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DD30BD" w:rsidRPr="00D7375E" w:rsidTr="001803BF">
        <w:trPr>
          <w:trHeight w:val="300"/>
        </w:trPr>
        <w:tc>
          <w:tcPr>
            <w:tcW w:w="1877" w:type="pct"/>
            <w:noWrap/>
            <w:vAlign w:val="bottom"/>
          </w:tcPr>
          <w:p w:rsidR="00DD30BD" w:rsidRPr="00D7375E" w:rsidRDefault="00DD30BD" w:rsidP="00180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диплома престижного учебного заведения</w:t>
            </w:r>
          </w:p>
        </w:tc>
        <w:tc>
          <w:tcPr>
            <w:tcW w:w="308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14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307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23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35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321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532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DD30BD" w:rsidRPr="00D7375E" w:rsidTr="001803BF">
        <w:trPr>
          <w:trHeight w:val="300"/>
        </w:trPr>
        <w:tc>
          <w:tcPr>
            <w:tcW w:w="1877" w:type="pct"/>
            <w:noWrap/>
            <w:vAlign w:val="bottom"/>
          </w:tcPr>
          <w:p w:rsidR="00DD30BD" w:rsidRPr="00D7375E" w:rsidRDefault="00DD30BD" w:rsidP="00180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опыта исследовательской работы (написание научных статей, участие в конференциях и т.д.)</w:t>
            </w:r>
          </w:p>
        </w:tc>
        <w:tc>
          <w:tcPr>
            <w:tcW w:w="308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07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321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DD30BD" w:rsidRPr="00D7375E" w:rsidTr="001803BF">
        <w:trPr>
          <w:trHeight w:val="60"/>
        </w:trPr>
        <w:tc>
          <w:tcPr>
            <w:tcW w:w="1877" w:type="pct"/>
            <w:noWrap/>
            <w:vAlign w:val="bottom"/>
          </w:tcPr>
          <w:p w:rsidR="00DD30BD" w:rsidRPr="00D7375E" w:rsidRDefault="00DD30BD" w:rsidP="00180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иностранных языков</w:t>
            </w:r>
          </w:p>
        </w:tc>
        <w:tc>
          <w:tcPr>
            <w:tcW w:w="308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14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07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59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321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noWrap/>
            <w:vAlign w:val="center"/>
          </w:tcPr>
          <w:p w:rsidR="00DD30BD" w:rsidRPr="00D7375E" w:rsidRDefault="00DD30BD" w:rsidP="0018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</w:tbl>
    <w:p w:rsidR="00DD30BD" w:rsidRPr="002C2530" w:rsidRDefault="00DD30BD" w:rsidP="002C2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2530">
        <w:rPr>
          <w:rFonts w:ascii="Times New Roman" w:hAnsi="Times New Roman" w:cs="Times New Roman"/>
          <w:sz w:val="20"/>
          <w:szCs w:val="20"/>
          <w:lang w:eastAsia="ru-RU"/>
        </w:rPr>
        <w:t>Примечание: Цифрами обозначены виды экономической деятельности хозяйствующих субъектов, где:</w:t>
      </w:r>
    </w:p>
    <w:p w:rsidR="00DD30BD" w:rsidRPr="002C2530" w:rsidRDefault="00DD30BD" w:rsidP="002C2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2530">
        <w:rPr>
          <w:rFonts w:ascii="Times New Roman" w:hAnsi="Times New Roman" w:cs="Times New Roman"/>
          <w:sz w:val="20"/>
          <w:szCs w:val="20"/>
          <w:lang w:eastAsia="ru-RU"/>
        </w:rPr>
        <w:t>1. Сельское хозяйство, охота и лесное хозяйство; 2. Обрабатывающие производства; 3. Строительство; 4. Оптовая и розничная торговля; ремонт автотранспортных средств, мотоциклов, бытовых изделий и предметов личного пользования; 5. Транспорт и связь; 6. Операции с недвижимым имуществом, аренда и предоставление услуг; 7. Образование; 8. Здравоохранение и предоставление социальных услуг.</w:t>
      </w:r>
    </w:p>
    <w:p w:rsidR="00DD30BD" w:rsidRPr="002C2530" w:rsidRDefault="00DD30BD" w:rsidP="002C2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2530">
        <w:rPr>
          <w:rFonts w:ascii="Times New Roman" w:hAnsi="Times New Roman" w:cs="Times New Roman"/>
          <w:sz w:val="20"/>
          <w:szCs w:val="20"/>
          <w:lang w:eastAsia="ru-RU"/>
        </w:rPr>
        <w:t xml:space="preserve">Источник: данные экспертного опроса работодателей Вологодской области, ИСЭРТ РАН, </w:t>
      </w:r>
      <w:smartTag w:uri="urn:schemas-microsoft-com:office:smarttags" w:element="metricconverter">
        <w:smartTagPr>
          <w:attr w:name="ProductID" w:val="2015 г"/>
        </w:smartTagPr>
        <w:r w:rsidRPr="002C2530">
          <w:rPr>
            <w:rFonts w:ascii="Times New Roman" w:hAnsi="Times New Roman" w:cs="Times New Roman"/>
            <w:sz w:val="20"/>
            <w:szCs w:val="20"/>
            <w:lang w:eastAsia="ru-RU"/>
          </w:rPr>
          <w:t>2015 г</w:t>
        </w:r>
      </w:smartTag>
      <w:r w:rsidRPr="002C253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C2530" w:rsidRDefault="002C2530" w:rsidP="002C25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530" w:rsidRPr="002C2530" w:rsidRDefault="002C2530" w:rsidP="002C2530">
      <w:pPr>
        <w:numPr>
          <w:ilvl w:val="1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основные причины несоответствия профессиональных навыков молодежи требованиям рабочих мест. </w:t>
      </w:r>
      <w:r w:rsidR="0018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C25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работодателей (76%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C2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рисунок 1</w:t>
      </w:r>
      <w:r w:rsidRPr="002C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придерживаются позиции, что в их основе лежит отсутствие необходимого опыта работы. Незначительный трудовой стаж препятствует практической реализации полученных знаний, которые в силу множества обстоятельств не всегда применимы в условиях реального сектора экономики. </w:t>
      </w:r>
      <w:r w:rsidR="001803B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</w:t>
      </w:r>
      <w:r w:rsidRPr="002C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четвертый молодой специалист (25%) не соответствует требованиям интересуемой вакансии из-за низкого уровня профессиональной подготовки, полученной в процессе обучения. В результате подтверждается тезис о том, что найм молодежи зачастую приводит к дополнительным издержкам, связанным с необходимостью их последующего обучения (переобучения), тем самым снижая конкурентоспособность перед людьми старшего поколения, обладающих более</w:t>
      </w:r>
      <w:r w:rsidR="0018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длительным</w:t>
      </w:r>
      <w:r w:rsidRPr="002C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стажем.</w:t>
      </w:r>
    </w:p>
    <w:p w:rsidR="002C2530" w:rsidRDefault="002C2530" w:rsidP="002C2530">
      <w:pPr>
        <w:shd w:val="clear" w:color="auto" w:fill="FFFFFF"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45C2">
        <w:rPr>
          <w:noProof/>
          <w:lang w:eastAsia="ru-RU"/>
        </w:rPr>
        <w:lastRenderedPageBreak/>
        <w:drawing>
          <wp:inline distT="0" distB="0" distL="0" distR="0" wp14:anchorId="56ECF30F" wp14:editId="5B357917">
            <wp:extent cx="5208105" cy="254441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2530" w:rsidRPr="002C2530" w:rsidRDefault="002C2530" w:rsidP="002C2530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2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2C2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Распределение ответов на вопрос: «Как вы считаете, каковы основные причины несоответствия профессиональных навыков молодых работников требованиям рабочих мест?», в %</w:t>
      </w:r>
    </w:p>
    <w:p w:rsidR="002C2530" w:rsidRPr="002C2530" w:rsidRDefault="002C2530" w:rsidP="002C2530">
      <w:pPr>
        <w:pStyle w:val="a4"/>
        <w:spacing w:after="0" w:line="240" w:lineRule="auto"/>
        <w:ind w:left="121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2530">
        <w:rPr>
          <w:rFonts w:ascii="Times New Roman" w:hAnsi="Times New Roman" w:cs="Times New Roman"/>
          <w:sz w:val="20"/>
          <w:szCs w:val="20"/>
          <w:lang w:eastAsia="ru-RU"/>
        </w:rPr>
        <w:t xml:space="preserve">Источник: данные экспертного опроса работодателей Вологодской области, ИСЭРТ РАН, </w:t>
      </w:r>
      <w:smartTag w:uri="urn:schemas-microsoft-com:office:smarttags" w:element="metricconverter">
        <w:smartTagPr>
          <w:attr w:name="ProductID" w:val="2015 г"/>
        </w:smartTagPr>
        <w:r w:rsidRPr="002C2530">
          <w:rPr>
            <w:rFonts w:ascii="Times New Roman" w:hAnsi="Times New Roman" w:cs="Times New Roman"/>
            <w:sz w:val="20"/>
            <w:szCs w:val="20"/>
            <w:lang w:eastAsia="ru-RU"/>
          </w:rPr>
          <w:t>2015 г</w:t>
        </w:r>
      </w:smartTag>
      <w:r w:rsidRPr="002C253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C2530" w:rsidRDefault="002C2530" w:rsidP="002C25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AF" w:rsidRPr="001803BF" w:rsidRDefault="005965FB" w:rsidP="001803BF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несоответствие профессии предпочтениям молодежи приводит к существенному недоиспользованию их трудового потенциала.</w:t>
      </w:r>
      <w:r w:rsidRPr="001803BF">
        <w:rPr>
          <w:rFonts w:ascii="Times New Roman" w:eastAsia="MS Mincho" w:hAnsi="Times New Roman" w:cs="Times New Roman"/>
          <w:sz w:val="28"/>
          <w:szCs w:val="28"/>
        </w:rPr>
        <w:t xml:space="preserve"> Так, если молодой человек занимается деятельностью, к которой он внутренне предрасположен, то это способствует более полной реализации накопленных знаний, умений и навыков. В противном случае, это служит мощным фактором, препятствующим развитию трудовой активности</w:t>
      </w:r>
      <w:r w:rsidR="009A48AF" w:rsidRPr="001803BF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9A48AF" w:rsidRPr="001803BF">
        <w:rPr>
          <w:rFonts w:ascii="Times New Roman" w:eastAsia="MS Mincho" w:hAnsi="Times New Roman" w:cs="Times New Roman"/>
          <w:i/>
          <w:sz w:val="28"/>
          <w:szCs w:val="28"/>
        </w:rPr>
        <w:t>таблица 3</w:t>
      </w:r>
      <w:r w:rsidR="009A48AF" w:rsidRPr="001803BF">
        <w:rPr>
          <w:rFonts w:ascii="Times New Roman" w:eastAsia="MS Mincho" w:hAnsi="Times New Roman" w:cs="Times New Roman"/>
          <w:sz w:val="28"/>
          <w:szCs w:val="28"/>
        </w:rPr>
        <w:t>)</w:t>
      </w:r>
      <w:r w:rsidRPr="001803BF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B67F88" w:rsidRPr="009A48AF" w:rsidRDefault="00B67F88" w:rsidP="009A4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8AF">
        <w:rPr>
          <w:rFonts w:ascii="Times New Roman" w:hAnsi="Times New Roman"/>
          <w:sz w:val="24"/>
          <w:szCs w:val="24"/>
        </w:rPr>
        <w:t>Таблица 3 – Соответствие основной деятельности способностям, склонности, призванию и уровень реализации трудового потенциала (в % от числа молодежи)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1537"/>
        <w:gridCol w:w="3643"/>
        <w:gridCol w:w="1794"/>
      </w:tblGrid>
      <w:tr w:rsidR="00B67F88" w:rsidRPr="000050BC" w:rsidTr="001803BF">
        <w:trPr>
          <w:cantSplit/>
          <w:trHeight w:val="53"/>
        </w:trPr>
        <w:tc>
          <w:tcPr>
            <w:tcW w:w="1420" w:type="pct"/>
            <w:vMerge w:val="restart"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Вариант ответа</w:t>
            </w:r>
          </w:p>
        </w:tc>
        <w:tc>
          <w:tcPr>
            <w:tcW w:w="789" w:type="pct"/>
            <w:vMerge w:val="restart"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Удельный вес</w:t>
            </w:r>
          </w:p>
        </w:tc>
        <w:tc>
          <w:tcPr>
            <w:tcW w:w="2791" w:type="pct"/>
            <w:gridSpan w:val="2"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Уровень реализации трудового потенциала</w:t>
            </w:r>
            <w:r>
              <w:rPr>
                <w:rFonts w:ascii="Times New Roman" w:hAnsi="Times New Roman"/>
                <w:color w:val="000000"/>
              </w:rPr>
              <w:t>, %</w:t>
            </w:r>
          </w:p>
        </w:tc>
      </w:tr>
      <w:tr w:rsidR="00B67F88" w:rsidRPr="000050BC" w:rsidTr="001803BF">
        <w:trPr>
          <w:cantSplit/>
          <w:trHeight w:val="53"/>
        </w:trPr>
        <w:tc>
          <w:tcPr>
            <w:tcW w:w="1420" w:type="pct"/>
            <w:vMerge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9" w:type="pct"/>
            <w:vMerge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pct"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интеллектуальной компоненты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21" w:type="pct"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всего</w:t>
            </w:r>
          </w:p>
        </w:tc>
      </w:tr>
      <w:tr w:rsidR="00B67F88" w:rsidRPr="000050BC" w:rsidTr="001803BF">
        <w:trPr>
          <w:trHeight w:val="255"/>
        </w:trPr>
        <w:tc>
          <w:tcPr>
            <w:tcW w:w="5000" w:type="pct"/>
            <w:gridSpan w:val="4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Соответствует ли Ваша профессия (основная деятельность) Вашим способностям и склонностям?</w:t>
            </w:r>
          </w:p>
        </w:tc>
      </w:tr>
      <w:tr w:rsidR="00B67F88" w:rsidRPr="000050BC" w:rsidTr="001803BF">
        <w:trPr>
          <w:trHeight w:val="56"/>
        </w:trPr>
        <w:tc>
          <w:tcPr>
            <w:tcW w:w="1420" w:type="pct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789" w:type="pct"/>
            <w:noWrap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65,8</w:t>
            </w:r>
          </w:p>
        </w:tc>
        <w:tc>
          <w:tcPr>
            <w:tcW w:w="1870" w:type="pct"/>
            <w:noWrap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921" w:type="pct"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81,4</w:t>
            </w:r>
          </w:p>
        </w:tc>
      </w:tr>
      <w:tr w:rsidR="00B67F88" w:rsidRPr="000050BC" w:rsidTr="001803BF">
        <w:trPr>
          <w:trHeight w:val="56"/>
        </w:trPr>
        <w:tc>
          <w:tcPr>
            <w:tcW w:w="1420" w:type="pct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789" w:type="pct"/>
            <w:noWrap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18,3</w:t>
            </w:r>
          </w:p>
        </w:tc>
        <w:tc>
          <w:tcPr>
            <w:tcW w:w="1870" w:type="pct"/>
            <w:noWrap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66,2</w:t>
            </w:r>
          </w:p>
        </w:tc>
        <w:tc>
          <w:tcPr>
            <w:tcW w:w="921" w:type="pct"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74,8</w:t>
            </w:r>
          </w:p>
        </w:tc>
      </w:tr>
      <w:tr w:rsidR="00B67F88" w:rsidRPr="000050BC" w:rsidTr="001803BF">
        <w:trPr>
          <w:trHeight w:val="70"/>
        </w:trPr>
        <w:tc>
          <w:tcPr>
            <w:tcW w:w="1420" w:type="pct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Затрудняюсь ответить</w:t>
            </w:r>
          </w:p>
        </w:tc>
        <w:tc>
          <w:tcPr>
            <w:tcW w:w="789" w:type="pct"/>
            <w:noWrap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15,9</w:t>
            </w:r>
          </w:p>
        </w:tc>
        <w:tc>
          <w:tcPr>
            <w:tcW w:w="1870" w:type="pct"/>
            <w:noWrap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67,8</w:t>
            </w:r>
          </w:p>
        </w:tc>
        <w:tc>
          <w:tcPr>
            <w:tcW w:w="921" w:type="pct"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75,2</w:t>
            </w:r>
          </w:p>
        </w:tc>
      </w:tr>
      <w:tr w:rsidR="00B67F88" w:rsidRPr="000050BC" w:rsidTr="001803BF">
        <w:trPr>
          <w:trHeight w:val="70"/>
        </w:trPr>
        <w:tc>
          <w:tcPr>
            <w:tcW w:w="5000" w:type="pct"/>
            <w:gridSpan w:val="4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Соответствует ли Ваша профессия (основная деятельность) Вашему призванию?</w:t>
            </w:r>
          </w:p>
        </w:tc>
      </w:tr>
      <w:tr w:rsidR="00B67F88" w:rsidRPr="000050BC" w:rsidTr="001803BF">
        <w:trPr>
          <w:trHeight w:val="70"/>
        </w:trPr>
        <w:tc>
          <w:tcPr>
            <w:tcW w:w="1420" w:type="pct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789" w:type="pct"/>
            <w:noWrap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49,2</w:t>
            </w:r>
          </w:p>
        </w:tc>
        <w:tc>
          <w:tcPr>
            <w:tcW w:w="1870" w:type="pct"/>
            <w:noWrap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79,6</w:t>
            </w:r>
          </w:p>
        </w:tc>
        <w:tc>
          <w:tcPr>
            <w:tcW w:w="921" w:type="pct"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83,4</w:t>
            </w:r>
          </w:p>
        </w:tc>
      </w:tr>
      <w:tr w:rsidR="00B67F88" w:rsidRPr="000050BC" w:rsidTr="001803BF">
        <w:trPr>
          <w:trHeight w:val="70"/>
        </w:trPr>
        <w:tc>
          <w:tcPr>
            <w:tcW w:w="1420" w:type="pct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789" w:type="pct"/>
            <w:noWrap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24,7</w:t>
            </w:r>
          </w:p>
        </w:tc>
        <w:tc>
          <w:tcPr>
            <w:tcW w:w="1870" w:type="pct"/>
            <w:noWrap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65,6</w:t>
            </w:r>
          </w:p>
        </w:tc>
        <w:tc>
          <w:tcPr>
            <w:tcW w:w="921" w:type="pct"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75,0</w:t>
            </w:r>
          </w:p>
        </w:tc>
      </w:tr>
      <w:tr w:rsidR="00B67F88" w:rsidRPr="000050BC" w:rsidTr="001803BF">
        <w:trPr>
          <w:trHeight w:val="70"/>
        </w:trPr>
        <w:tc>
          <w:tcPr>
            <w:tcW w:w="1420" w:type="pct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0BC">
              <w:rPr>
                <w:rFonts w:ascii="Times New Roman" w:hAnsi="Times New Roman"/>
                <w:color w:val="000000"/>
              </w:rPr>
              <w:t>Затрудняюсь ответить</w:t>
            </w:r>
          </w:p>
        </w:tc>
        <w:tc>
          <w:tcPr>
            <w:tcW w:w="789" w:type="pct"/>
            <w:noWrap/>
            <w:vAlign w:val="center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26,1</w:t>
            </w:r>
          </w:p>
        </w:tc>
        <w:tc>
          <w:tcPr>
            <w:tcW w:w="1870" w:type="pct"/>
            <w:noWrap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69,3</w:t>
            </w:r>
          </w:p>
        </w:tc>
        <w:tc>
          <w:tcPr>
            <w:tcW w:w="921" w:type="pct"/>
            <w:vAlign w:val="bottom"/>
          </w:tcPr>
          <w:p w:rsidR="00B67F88" w:rsidRPr="000050BC" w:rsidRDefault="00B67F88" w:rsidP="001803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50BC">
              <w:rPr>
                <w:rFonts w:ascii="Times New Roman" w:hAnsi="Times New Roman"/>
                <w:bCs/>
                <w:color w:val="000000"/>
              </w:rPr>
              <w:t>75,3</w:t>
            </w:r>
          </w:p>
        </w:tc>
      </w:tr>
    </w:tbl>
    <w:p w:rsidR="00B67F88" w:rsidRPr="00B67F88" w:rsidRDefault="00B67F88" w:rsidP="00B67F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7F88">
        <w:rPr>
          <w:rFonts w:ascii="Times New Roman" w:hAnsi="Times New Roman"/>
          <w:sz w:val="20"/>
          <w:szCs w:val="20"/>
        </w:rPr>
        <w:t>* В соответствии с концепцией ИСЭРТ РАН интеллектуальная компонента включает в себя творческий и когнитивный потенциал.</w:t>
      </w:r>
    </w:p>
    <w:p w:rsidR="00B67F88" w:rsidRPr="00B67F88" w:rsidRDefault="00B67F88" w:rsidP="00B67F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7F88">
        <w:rPr>
          <w:rFonts w:ascii="Times New Roman" w:hAnsi="Times New Roman"/>
          <w:sz w:val="20"/>
          <w:szCs w:val="20"/>
        </w:rPr>
        <w:t>Примечание: показатель реализации трудового потенциала показывает уровень использования работающим населением своих качеств и умений в конкретной трудовой деятельности. Разработанная в ИСЭРТ РАН методика, основанная на блоке вопросов вида: «Насколько сильно Вы «выкладываетесь» на работе? В какой мере используете свои качества и умения?», предполагает оценку 8 утверждений, характеризующих степень использования того или иного компонента трудового потенциала по 4-х балльной шкале (где 1 – по минимуму, а 4 – на пределе своих возможностей</w:t>
      </w:r>
      <w:r w:rsidR="003336AA" w:rsidRPr="00B67F88">
        <w:rPr>
          <w:rFonts w:ascii="Times New Roman" w:hAnsi="Times New Roman"/>
          <w:sz w:val="20"/>
          <w:szCs w:val="20"/>
        </w:rPr>
        <w:t>).</w:t>
      </w:r>
    </w:p>
    <w:p w:rsidR="00B67F88" w:rsidRDefault="00B67F88" w:rsidP="00B67F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7F88">
        <w:rPr>
          <w:rFonts w:ascii="Times New Roman" w:hAnsi="Times New Roman"/>
          <w:sz w:val="20"/>
          <w:szCs w:val="20"/>
        </w:rPr>
        <w:t>Источник: данные мониторинга качественного состояния трудового потенциала населения Вологодской области, ИСЭРТ РАН, 2016 г.</w:t>
      </w:r>
    </w:p>
    <w:p w:rsidR="001803BF" w:rsidRDefault="009A48AF" w:rsidP="001803B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8AF">
        <w:rPr>
          <w:rFonts w:ascii="Times New Roman" w:eastAsia="MS Mincho" w:hAnsi="Times New Roman" w:cs="Times New Roman"/>
          <w:sz w:val="28"/>
          <w:szCs w:val="28"/>
        </w:rPr>
        <w:lastRenderedPageBreak/>
        <w:t>Разрыв в уровне реализации трудового потенциала между молодежью, чья работа соответствует личностным предпочтениям (способностям, склонностям и призванию) и теми, у кого не соответствует, составляет в среднем 7 п.п., а в интеллектуальной компоненте, важнейшей составляющей инновацион</w:t>
      </w:r>
      <w:r>
        <w:rPr>
          <w:rFonts w:ascii="Times New Roman" w:eastAsia="MS Mincho" w:hAnsi="Times New Roman" w:cs="Times New Roman"/>
          <w:sz w:val="28"/>
          <w:szCs w:val="28"/>
        </w:rPr>
        <w:t>ной экономики, достигает 13 п.п.</w:t>
      </w:r>
    </w:p>
    <w:p w:rsidR="002C2530" w:rsidRPr="001803BF" w:rsidRDefault="005965FB" w:rsidP="001803BF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Выявлено, что недостаток квалификации, работа не по специальности и ее несоответствие способностям и склонностям, неудобный график и отсутствие интереса к работе и т.д. служат наиболее значимыми барьерами, которые, по мнению молодежи, препятствуют их самореализации в трудовой деятельности</w:t>
      </w:r>
      <w:r w:rsidR="002C2530" w:rsidRPr="0018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2)</w:t>
      </w:r>
      <w:r w:rsidRPr="0018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итоге профессиональные навыки существенной части молодежи, полученные в ходе продолжительного обучения, остаются неиспользованными на рынке труда. </w:t>
      </w:r>
      <w:r w:rsidR="002C2530" w:rsidRPr="0018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влечет за собой потерю приобретенной квалификации и обуславливает необходимость прохождения дополнительной профессиональной подготовки, тем самым повышая издержки найма. Кроме того, снижается эффективность государственной системы профессионального образования, поскольку молодые люди выбирают работу не по специальности, в силу чего потребность приоритетных отраслей экономики в высококвалифицированных кадрах остается неудовлетворенной. </w:t>
      </w:r>
    </w:p>
    <w:p w:rsidR="002C2530" w:rsidRPr="002C2530" w:rsidRDefault="002C2530" w:rsidP="002C2530">
      <w:pPr>
        <w:spacing w:after="0" w:line="240" w:lineRule="auto"/>
        <w:ind w:left="567"/>
        <w:contextualSpacing/>
        <w:jc w:val="center"/>
        <w:rPr>
          <w:rFonts w:ascii="Times New Roman" w:eastAsia="MS Mincho" w:hAnsi="Times New Roman"/>
          <w:sz w:val="28"/>
          <w:szCs w:val="28"/>
        </w:rPr>
      </w:pPr>
      <w:r w:rsidRPr="002C2530">
        <w:rPr>
          <w:rFonts w:eastAsia="MS Mincho"/>
          <w:noProof/>
          <w:lang w:eastAsia="ru-RU"/>
        </w:rPr>
        <w:drawing>
          <wp:inline distT="0" distB="0" distL="0" distR="0" wp14:anchorId="283C12AB" wp14:editId="23A4E385">
            <wp:extent cx="4985385" cy="2562225"/>
            <wp:effectExtent l="0" t="0" r="571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2530" w:rsidRPr="009A48AF" w:rsidRDefault="002C2530" w:rsidP="009A48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2C2530">
        <w:rPr>
          <w:rFonts w:ascii="Times New Roman" w:eastAsia="MS Mincho" w:hAnsi="Times New Roman"/>
          <w:sz w:val="24"/>
          <w:szCs w:val="24"/>
        </w:rPr>
        <w:t xml:space="preserve">Рисунок </w:t>
      </w:r>
      <w:r>
        <w:rPr>
          <w:rFonts w:ascii="Times New Roman" w:eastAsia="MS Mincho" w:hAnsi="Times New Roman"/>
          <w:sz w:val="24"/>
          <w:szCs w:val="24"/>
        </w:rPr>
        <w:t>2.</w:t>
      </w:r>
      <w:r w:rsidRPr="002C2530">
        <w:rPr>
          <w:rFonts w:ascii="Times New Roman" w:eastAsia="MS Mincho" w:hAnsi="Times New Roman"/>
          <w:sz w:val="24"/>
          <w:szCs w:val="24"/>
        </w:rPr>
        <w:t xml:space="preserve"> Распределение ответов на вопрос: «Как Вы думаете, что мешает Вам реализовать свой потенциал, качества и способности в трудовой деятельности?» (в % от числа молодежи)</w:t>
      </w:r>
    </w:p>
    <w:p w:rsidR="002C2530" w:rsidRPr="002C2530" w:rsidRDefault="002C2530" w:rsidP="002C2530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2C2530">
        <w:rPr>
          <w:rFonts w:ascii="Times New Roman" w:eastAsia="MS Mincho" w:hAnsi="Times New Roman"/>
          <w:sz w:val="20"/>
          <w:szCs w:val="20"/>
        </w:rPr>
        <w:t xml:space="preserve">Примечание: каждый респондент мог выбрать не более 3 вариантов ответа. На диаграмме отображено 10 наиболее популярных позиций. </w:t>
      </w:r>
    </w:p>
    <w:p w:rsidR="002C2530" w:rsidRPr="009A48AF" w:rsidRDefault="002C2530" w:rsidP="009A48A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2C2530">
        <w:rPr>
          <w:rFonts w:ascii="Times New Roman" w:eastAsia="MS Mincho" w:hAnsi="Times New Roman"/>
          <w:sz w:val="20"/>
          <w:szCs w:val="20"/>
        </w:rPr>
        <w:t>Источник: данные мониторинга качественного состояния трудового потенциала населения Вологодской области, ИСЭРТ РАН, 2016 г.</w:t>
      </w:r>
    </w:p>
    <w:p w:rsidR="00B67F88" w:rsidRPr="00B67F88" w:rsidRDefault="00B67F88" w:rsidP="00B67F88">
      <w:pPr>
        <w:numPr>
          <w:ilvl w:val="1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67F88">
        <w:rPr>
          <w:rFonts w:ascii="Times New Roman" w:eastAsia="MS Mincho" w:hAnsi="Times New Roman" w:cs="Times New Roman"/>
          <w:sz w:val="28"/>
          <w:szCs w:val="28"/>
        </w:rPr>
        <w:lastRenderedPageBreak/>
        <w:t>Установлено, что работодатели позитивно настроены на взаимодействие с образовательными организациями с целью привлечения выпускников и студентов профильных специальностей</w:t>
      </w:r>
      <w:r>
        <w:rPr>
          <w:rFonts w:ascii="Times New Roman" w:eastAsia="MS Mincho" w:hAnsi="Times New Roman" w:cs="Times New Roman"/>
          <w:sz w:val="28"/>
          <w:szCs w:val="28"/>
        </w:rPr>
        <w:t>. Незаинтересованными во взаимо</w:t>
      </w:r>
      <w:r w:rsidRPr="00B67F88">
        <w:rPr>
          <w:rFonts w:ascii="Times New Roman" w:eastAsia="MS Mincho" w:hAnsi="Times New Roman" w:cs="Times New Roman"/>
          <w:sz w:val="28"/>
          <w:szCs w:val="28"/>
        </w:rPr>
        <w:t>действии оказались лишь 12% опрошенных руководител</w:t>
      </w:r>
      <w:r>
        <w:rPr>
          <w:rFonts w:ascii="Times New Roman" w:eastAsia="MS Mincho" w:hAnsi="Times New Roman" w:cs="Times New Roman"/>
          <w:sz w:val="28"/>
          <w:szCs w:val="28"/>
        </w:rPr>
        <w:t>ей хозяйствую</w:t>
      </w:r>
      <w:r w:rsidRPr="00B67F88">
        <w:rPr>
          <w:rFonts w:ascii="Times New Roman" w:eastAsia="MS Mincho" w:hAnsi="Times New Roman" w:cs="Times New Roman"/>
          <w:sz w:val="28"/>
          <w:szCs w:val="28"/>
        </w:rPr>
        <w:t xml:space="preserve">щих субъектов. Среди респондентов, </w:t>
      </w:r>
      <w:r>
        <w:rPr>
          <w:rFonts w:ascii="Times New Roman" w:eastAsia="MS Mincho" w:hAnsi="Times New Roman" w:cs="Times New Roman"/>
          <w:sz w:val="28"/>
          <w:szCs w:val="28"/>
        </w:rPr>
        <w:t>давших положительные ответы, вы</w:t>
      </w:r>
      <w:r w:rsidRPr="00B67F88">
        <w:rPr>
          <w:rFonts w:ascii="Times New Roman" w:eastAsia="MS Mincho" w:hAnsi="Times New Roman" w:cs="Times New Roman"/>
          <w:sz w:val="28"/>
          <w:szCs w:val="28"/>
        </w:rPr>
        <w:t>соко оцениваются такие формы сотруднич</w:t>
      </w:r>
      <w:r>
        <w:rPr>
          <w:rFonts w:ascii="Times New Roman" w:eastAsia="MS Mincho" w:hAnsi="Times New Roman" w:cs="Times New Roman"/>
          <w:sz w:val="28"/>
          <w:szCs w:val="28"/>
        </w:rPr>
        <w:t>ества, как участие в днях откры</w:t>
      </w:r>
      <w:r w:rsidRPr="00B67F88">
        <w:rPr>
          <w:rFonts w:ascii="Times New Roman" w:eastAsia="MS Mincho" w:hAnsi="Times New Roman" w:cs="Times New Roman"/>
          <w:sz w:val="28"/>
          <w:szCs w:val="28"/>
        </w:rPr>
        <w:t>тых дверей, ярмарках вакансий (45%), организация стажировок, практик для студентов (44%), заключение прямы</w:t>
      </w:r>
      <w:r>
        <w:rPr>
          <w:rFonts w:ascii="Times New Roman" w:eastAsia="MS Mincho" w:hAnsi="Times New Roman" w:cs="Times New Roman"/>
          <w:sz w:val="28"/>
          <w:szCs w:val="28"/>
        </w:rPr>
        <w:t>х договоров на подготовку специ</w:t>
      </w:r>
      <w:r w:rsidRPr="00B67F88">
        <w:rPr>
          <w:rFonts w:ascii="Times New Roman" w:eastAsia="MS Mincho" w:hAnsi="Times New Roman" w:cs="Times New Roman"/>
          <w:sz w:val="28"/>
          <w:szCs w:val="28"/>
        </w:rPr>
        <w:t>алистов (28%), а низко – участие в финансировании, организации учебных лабораторий (1%), организация конкурсов студенческих работ, поощрение лучших студентов (2%), выплата дополнительных стипендий (4%). Это позволяет сделать вывод о том, что раб</w:t>
      </w:r>
      <w:r>
        <w:rPr>
          <w:rFonts w:ascii="Times New Roman" w:eastAsia="MS Mincho" w:hAnsi="Times New Roman" w:cs="Times New Roman"/>
          <w:sz w:val="28"/>
          <w:szCs w:val="28"/>
        </w:rPr>
        <w:t>отодатели в основном предпочита</w:t>
      </w:r>
      <w:r w:rsidRPr="00B67F88">
        <w:rPr>
          <w:rFonts w:ascii="Times New Roman" w:eastAsia="MS Mincho" w:hAnsi="Times New Roman" w:cs="Times New Roman"/>
          <w:sz w:val="28"/>
          <w:szCs w:val="28"/>
        </w:rPr>
        <w:t xml:space="preserve">ют непосредственное взаимодействие с потенциальными сотрудниками, обладающими необходимым качественными характеристиками. Системная работа по повышению общего уровня </w:t>
      </w:r>
      <w:r>
        <w:rPr>
          <w:rFonts w:ascii="Times New Roman" w:eastAsia="MS Mincho" w:hAnsi="Times New Roman" w:cs="Times New Roman"/>
          <w:sz w:val="28"/>
          <w:szCs w:val="28"/>
        </w:rPr>
        <w:t>профессиональной подготовки сту</w:t>
      </w:r>
      <w:r w:rsidRPr="00B67F88">
        <w:rPr>
          <w:rFonts w:ascii="Times New Roman" w:eastAsia="MS Mincho" w:hAnsi="Times New Roman" w:cs="Times New Roman"/>
          <w:sz w:val="28"/>
          <w:szCs w:val="28"/>
        </w:rPr>
        <w:t>дентов не является широко распространенной.</w:t>
      </w:r>
    </w:p>
    <w:p w:rsidR="005965FB" w:rsidRPr="005965FB" w:rsidRDefault="003336AA" w:rsidP="004D606B">
      <w:pPr>
        <w:numPr>
          <w:ilvl w:val="1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65FB" w:rsidRPr="005965FB">
        <w:rPr>
          <w:rFonts w:ascii="Times New Roman" w:eastAsia="MS Mincho" w:hAnsi="Times New Roman" w:cs="Times New Roman"/>
          <w:sz w:val="28"/>
          <w:szCs w:val="28"/>
        </w:rPr>
        <w:t>Предложены рекомендации по развитию профориентационной работы. Модернизация системы школьного профессионального ориентирования:</w:t>
      </w:r>
      <w:r w:rsidR="005965FB" w:rsidRPr="005965FB">
        <w:rPr>
          <w:rFonts w:ascii="Times New Roman" w:eastAsia="Calibri" w:hAnsi="Times New Roman" w:cs="Times New Roman"/>
          <w:sz w:val="28"/>
          <w:szCs w:val="28"/>
        </w:rPr>
        <w:t xml:space="preserve"> включение диагностических методик выявления профессиональных предпочтений в число обязательных мероприятий профориентационной работы образовательных организаций, учет их результатов при разработке планов воспитательной и профориентационной деятельности; поэтапное выстраивание психолого-педагогического сопровождения с постепенным усложнением и углублением профориентационных мероприятий; отслеживание </w:t>
      </w:r>
      <w:r w:rsidR="005965FB" w:rsidRPr="005965FB">
        <w:rPr>
          <w:rFonts w:ascii="Times New Roman" w:eastAsia="Calibri" w:hAnsi="Times New Roman" w:cs="Times New Roman"/>
          <w:sz w:val="28"/>
        </w:rPr>
        <w:t xml:space="preserve">информации о трудоустройстве выпускников по полученной специальности. </w:t>
      </w:r>
      <w:r w:rsidR="005965FB" w:rsidRPr="005965FB">
        <w:rPr>
          <w:rFonts w:ascii="Times New Roman" w:eastAsia="MS Mincho" w:hAnsi="Times New Roman" w:cs="Times New Roman"/>
          <w:sz w:val="28"/>
          <w:szCs w:val="28"/>
        </w:rPr>
        <w:t xml:space="preserve">Формирование единого информационного поля для установления баланса между спросом молодёжи на определенные профессии и их предложением на рынке труда: </w:t>
      </w:r>
      <w:r w:rsidR="005965FB" w:rsidRPr="005965FB">
        <w:rPr>
          <w:rFonts w:ascii="Times New Roman" w:eastAsia="Calibri" w:hAnsi="Times New Roman" w:cs="Times New Roman"/>
          <w:sz w:val="28"/>
          <w:szCs w:val="28"/>
        </w:rPr>
        <w:t xml:space="preserve">привлечение СМИ (телевидения, радио, газет) к проведению мероприятий, направленных на развитие профессионального самоопределения подростков, популяризацию отдельных профессий; знакомство подростков с разнообразием </w:t>
      </w:r>
      <w:r w:rsidR="005965FB" w:rsidRPr="005965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существующих профессий в рамках школьных образовательных программ с учётом выявленной в ходе диагностических мероприятий индивидуальной специфики. </w:t>
      </w:r>
    </w:p>
    <w:p w:rsidR="00B67F88" w:rsidRDefault="005965FB" w:rsidP="00B67F8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Разработан электронный ресурс для коллективного пользования - информационно-аналитическая система «Население и Модернизация», созданная на основе ИАС «Модернизация» путем расширения функционала и дополнения параметров; размещена в сети Интернет по адресу: http://nim.vscc.ac.ru/index.php/site/login </w:t>
      </w:r>
    </w:p>
    <w:p w:rsidR="00B67F88" w:rsidRDefault="005965FB" w:rsidP="00B67F8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F88">
        <w:rPr>
          <w:rFonts w:ascii="Times New Roman" w:eastAsia="Calibri" w:hAnsi="Times New Roman" w:cs="Times New Roman"/>
          <w:b/>
          <w:sz w:val="28"/>
          <w:szCs w:val="28"/>
        </w:rPr>
        <w:t xml:space="preserve">На основании мониторинга «Изучение условий формирования здорового поколения» получены следующие научные результаты. </w:t>
      </w:r>
    </w:p>
    <w:p w:rsidR="009A48AF" w:rsidRPr="009A48AF" w:rsidRDefault="00B67F88" w:rsidP="009A48A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6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социологического наблюдения за здоровьем и развитием детей </w:t>
      </w:r>
      <w:smartTag w:uri="urn:schemas-microsoft-com:office:smarttags" w:element="metricconverter">
        <w:smartTagPr>
          <w:attr w:name="ProductID" w:val="2014 г"/>
        </w:smartTagPr>
        <w:r w:rsidRPr="00B67F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B6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 в возрасте 2 лет установлено, что </w:t>
      </w:r>
      <w:r w:rsidRPr="00B67F88">
        <w:rPr>
          <w:rFonts w:ascii="Times New Roman" w:eastAsia="Calibri" w:hAnsi="Times New Roman" w:cs="Times New Roman"/>
          <w:sz w:val="28"/>
          <w:szCs w:val="24"/>
          <w:lang w:eastAsia="ru-RU"/>
        </w:rPr>
        <w:t>когорта демонстрирует благоприятную динамику показателей здоровья. Так</w:t>
      </w:r>
      <w:r w:rsidR="001803BF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Pr="00B67F8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течение первого года жизни, в противовес тенденции, регистрируемой в старших когортах, </w:t>
      </w:r>
      <w:r w:rsidRPr="00B67F8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не произошло резкого ухудшения здоровья детей. Доля здоровых детей впервые превысила рубеж 5%, составив 14%.</w:t>
      </w:r>
      <w:r w:rsidRPr="00B67F8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втором году жизни впервые (по сравнению с динамикой по предшествующим когортам)</w:t>
      </w:r>
      <w:r w:rsidRPr="00B67F8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отмечено сокращение доли детей с хроническими заболеваниями (на 1%) и увеличение доли здоровых детей (на 6%;</w:t>
      </w:r>
      <w:r w:rsidRPr="00B67F8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05E70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рис</w:t>
      </w:r>
      <w:r w:rsidR="00005E70" w:rsidRPr="00005E70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унок 3</w:t>
      </w:r>
      <w:r w:rsidRPr="00B67F88">
        <w:rPr>
          <w:rFonts w:ascii="Times New Roman" w:eastAsia="Calibri" w:hAnsi="Times New Roman" w:cs="Times New Roman"/>
          <w:sz w:val="28"/>
          <w:szCs w:val="24"/>
          <w:lang w:eastAsia="ru-RU"/>
        </w:rPr>
        <w:t>).</w:t>
      </w:r>
    </w:p>
    <w:p w:rsidR="00B67F88" w:rsidRPr="00B67F88" w:rsidRDefault="00B67F88" w:rsidP="00B67F88">
      <w:pPr>
        <w:keepNext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6D">
        <w:rPr>
          <w:noProof/>
          <w:lang w:eastAsia="ru-RU"/>
        </w:rPr>
        <w:lastRenderedPageBreak/>
        <w:drawing>
          <wp:inline distT="0" distB="0" distL="0" distR="0" wp14:anchorId="2CBFD22F" wp14:editId="55EF2E8A">
            <wp:extent cx="5940425" cy="40227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7F88" w:rsidRPr="00B67F88" w:rsidRDefault="00B67F88" w:rsidP="00B67F88">
      <w:pPr>
        <w:pStyle w:val="a4"/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B67F88">
        <w:rPr>
          <w:rFonts w:ascii="Times New Roman" w:hAnsi="Times New Roman"/>
          <w:sz w:val="24"/>
          <w:szCs w:val="24"/>
        </w:rPr>
        <w:t xml:space="preserve">Рисунок </w:t>
      </w:r>
      <w:r w:rsidR="00005E70">
        <w:rPr>
          <w:rFonts w:ascii="Times New Roman" w:hAnsi="Times New Roman"/>
          <w:sz w:val="24"/>
          <w:szCs w:val="24"/>
        </w:rPr>
        <w:t>3</w:t>
      </w:r>
      <w:r w:rsidRPr="00B67F88">
        <w:rPr>
          <w:rFonts w:ascii="Times New Roman" w:hAnsi="Times New Roman"/>
          <w:sz w:val="24"/>
          <w:szCs w:val="24"/>
        </w:rPr>
        <w:t xml:space="preserve">. Распределение детей по группам здоровья (в % от численности детей </w:t>
      </w:r>
      <w:r w:rsidRPr="00B67F88">
        <w:rPr>
          <w:rFonts w:ascii="Times New Roman" w:hAnsi="Times New Roman"/>
          <w:sz w:val="24"/>
          <w:szCs w:val="24"/>
        </w:rPr>
        <w:br/>
        <w:t>соответствующей когорты)</w:t>
      </w:r>
    </w:p>
    <w:p w:rsidR="00B67F88" w:rsidRPr="00B67F88" w:rsidRDefault="00B67F88" w:rsidP="00B67F88">
      <w:pPr>
        <w:pStyle w:val="a4"/>
        <w:spacing w:after="240" w:line="240" w:lineRule="auto"/>
        <w:ind w:left="1211"/>
        <w:jc w:val="both"/>
        <w:rPr>
          <w:rFonts w:ascii="Times New Roman" w:hAnsi="Times New Roman" w:cs="Times New Roman"/>
          <w:iCs/>
          <w:sz w:val="20"/>
          <w:szCs w:val="28"/>
        </w:rPr>
      </w:pPr>
      <w:r w:rsidRPr="00B67F88">
        <w:rPr>
          <w:rFonts w:ascii="Times New Roman" w:hAnsi="Times New Roman" w:cs="Times New Roman"/>
          <w:iCs/>
          <w:sz w:val="20"/>
          <w:szCs w:val="18"/>
        </w:rPr>
        <w:t xml:space="preserve">Источник: Мониторинг «Изучение условий формирования здорового поколения». ИСЭРТ РАН, 1995 – 2016 гг. </w:t>
      </w:r>
    </w:p>
    <w:p w:rsidR="009A48AF" w:rsidRDefault="009A48AF" w:rsidP="009A4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05E70">
        <w:rPr>
          <w:rFonts w:ascii="Times New Roman" w:eastAsia="Calibri" w:hAnsi="Times New Roman" w:cs="Times New Roman"/>
          <w:sz w:val="28"/>
          <w:szCs w:val="24"/>
          <w:lang w:eastAsia="ru-RU"/>
        </w:rPr>
        <w:t>По результатам анализа динамики здоровья в гендерном разрезе установлено, что на втором году жизни более подвержено воздействию негативных факторов здоровье девочек: их доля среди здоровых детей сократилась на 7%.</w:t>
      </w:r>
    </w:p>
    <w:p w:rsidR="00B67F88" w:rsidRDefault="00B67F88" w:rsidP="00005E7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05E70">
        <w:rPr>
          <w:rFonts w:ascii="Times New Roman" w:eastAsia="Calibri" w:hAnsi="Times New Roman" w:cs="Times New Roman"/>
          <w:sz w:val="28"/>
          <w:szCs w:val="24"/>
          <w:lang w:eastAsia="ru-RU"/>
        </w:rPr>
        <w:t>На примере когорты 2014 г.р. показано, что качество питания оказывает влияние на состояние здоровья детей. Так, в 2016 году вновь было получено подтверждение того, что недостаточная обеспеченность продуктами питания сопутствует нарушениям здоровья детей. Среди детей, испытывающих недостаток продуктов питания</w:t>
      </w:r>
      <w:r w:rsidR="001803BF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Pr="00005E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выше доля тех, кто имеет отклонения в состоянии здоровья. Эта закономерность сохраняется на всех этапах наблюдения за здоровьем когорты 2014 г.р. (</w:t>
      </w:r>
      <w:r w:rsidRPr="00005E70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таблица 4</w:t>
      </w:r>
      <w:r w:rsidRPr="00005E70">
        <w:rPr>
          <w:rFonts w:ascii="Times New Roman" w:eastAsia="Calibri" w:hAnsi="Times New Roman" w:cs="Times New Roman"/>
          <w:sz w:val="28"/>
          <w:szCs w:val="24"/>
          <w:lang w:eastAsia="ru-RU"/>
        </w:rPr>
        <w:t>).</w:t>
      </w:r>
    </w:p>
    <w:p w:rsidR="009A48AF" w:rsidRDefault="009A48AF" w:rsidP="00005E7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A48AF" w:rsidRPr="00005E70" w:rsidRDefault="009A48AF" w:rsidP="00005E7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67F88" w:rsidRPr="00B67F88" w:rsidRDefault="00B67F88" w:rsidP="00B67F8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67F88">
        <w:rPr>
          <w:rFonts w:ascii="Times New Roman" w:hAnsi="Times New Roman"/>
          <w:sz w:val="24"/>
          <w:szCs w:val="24"/>
        </w:rPr>
        <w:lastRenderedPageBreak/>
        <w:t xml:space="preserve">Таблица 4. Влияние обеспеченности продуктами питания на здоровье детей (распределение ответов в % от числа опрошенных, 2015 и 2016 г.) </w:t>
      </w:r>
    </w:p>
    <w:tbl>
      <w:tblPr>
        <w:tblW w:w="72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1124"/>
        <w:gridCol w:w="1005"/>
        <w:gridCol w:w="992"/>
        <w:gridCol w:w="1276"/>
      </w:tblGrid>
      <w:tr w:rsidR="00B67F88" w:rsidRPr="009F4C6D" w:rsidTr="00B67F88">
        <w:trPr>
          <w:cantSplit/>
          <w:trHeight w:val="20"/>
          <w:jc w:val="center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Обеспеченность ребёнка необходимыми продуктами питания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B6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2014 г.р. в 1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B6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2014 г.р. в 2 года</w:t>
            </w:r>
          </w:p>
        </w:tc>
      </w:tr>
      <w:tr w:rsidR="00B67F88" w:rsidRPr="009F4C6D" w:rsidTr="00B67F88">
        <w:trPr>
          <w:cantSplit/>
          <w:trHeight w:val="20"/>
          <w:jc w:val="center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R1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R1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R2</w:t>
            </w:r>
          </w:p>
        </w:tc>
      </w:tr>
      <w:tr w:rsidR="00B67F88" w:rsidRPr="009F4C6D" w:rsidTr="00B67F88">
        <w:trPr>
          <w:cantSplit/>
          <w:trHeight w:val="20"/>
          <w:jc w:val="center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Хорошая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54,5</w:t>
            </w:r>
          </w:p>
        </w:tc>
      </w:tr>
      <w:tr w:rsidR="00B67F88" w:rsidRPr="009F4C6D" w:rsidTr="00B67F88">
        <w:trPr>
          <w:cantSplit/>
          <w:trHeight w:val="20"/>
          <w:jc w:val="center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39,4</w:t>
            </w:r>
          </w:p>
        </w:tc>
      </w:tr>
      <w:tr w:rsidR="00B67F88" w:rsidRPr="009F4C6D" w:rsidTr="00B67F88">
        <w:trPr>
          <w:cantSplit/>
          <w:trHeight w:val="20"/>
          <w:jc w:val="center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B6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Плохая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6,1</w:t>
            </w:r>
          </w:p>
        </w:tc>
      </w:tr>
      <w:tr w:rsidR="00B67F88" w:rsidRPr="009F4C6D" w:rsidTr="00B67F88">
        <w:trPr>
          <w:cantSplit/>
          <w:trHeight w:val="20"/>
          <w:jc w:val="center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Очень плохая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B67F88" w:rsidRPr="009F4C6D" w:rsidTr="00B67F88">
        <w:trPr>
          <w:cantSplit/>
          <w:trHeight w:val="20"/>
          <w:jc w:val="center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F88" w:rsidRPr="009F4C6D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B67F88" w:rsidRPr="009F4C6D" w:rsidTr="00B67F88">
        <w:trPr>
          <w:cantSplit/>
          <w:trHeight w:val="20"/>
          <w:jc w:val="center"/>
        </w:trPr>
        <w:tc>
          <w:tcPr>
            <w:tcW w:w="723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F88" w:rsidRDefault="00B67F88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Обозначения: </w:t>
            </w: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R</w:t>
            </w: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 – </w:t>
            </w:r>
            <w:r w:rsidRPr="009F4C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группа с наименьшим риском ухудшения здоровья (</w:t>
            </w:r>
            <w:r w:rsidRPr="009F4C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en-US" w:eastAsia="ru-RU"/>
              </w:rPr>
              <w:t>I</w:t>
            </w:r>
            <w:r w:rsidRPr="009F4C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 и </w:t>
            </w: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II</w:t>
            </w: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</w:t>
            </w:r>
            <w:r w:rsidRPr="009F4C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 гр. здоровья)</w:t>
            </w: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R</w:t>
            </w: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– дети, имеющие различные отклонения в состоянии здоровья, хронические заболевания (</w:t>
            </w: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II</w:t>
            </w: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Б–</w:t>
            </w: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V</w:t>
            </w:r>
            <w:r w:rsidRPr="009F4C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гр. здоровья)</w:t>
            </w:r>
          </w:p>
          <w:p w:rsidR="009A48AF" w:rsidRPr="009F4C6D" w:rsidRDefault="009A48AF" w:rsidP="00180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B67F88" w:rsidRPr="00005E70" w:rsidRDefault="00B67F88" w:rsidP="00005E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005E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связи с этим, представляется, что значительный вклад в улучшение здоровья детей по сравнению с предшествующими этапами наблюдения могли дать </w:t>
      </w:r>
      <w:r w:rsidRPr="00005E7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улучшение материального положения семей, а также более ответственное отношение родителей к сохранению и укреплению своего здоровья и здоровья детей.</w:t>
      </w:r>
    </w:p>
    <w:p w:rsidR="00B67F88" w:rsidRPr="00005E70" w:rsidRDefault="00B67F88" w:rsidP="00005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Основанием для оптимистической оценки перспектив изменения здоровья детей можно считать и то, что абсолютное большинство детей 2014 г.р. в возрасте 2 лет, по словам родителей, были охвачены профилактическими мероприятиями. </w:t>
      </w:r>
    </w:p>
    <w:p w:rsidR="00005E70" w:rsidRPr="00005E70" w:rsidRDefault="00B67F88" w:rsidP="00005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наблюдения за состоянием здоровья детей когорт 1995, 1998, 2001 и 2004 гг.р. позволили рассчитать повозрастные индексы здоровья для каждой из них. </w:t>
      </w:r>
    </w:p>
    <w:p w:rsidR="00005E70" w:rsidRPr="00005E70" w:rsidRDefault="00B67F88" w:rsidP="00005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весь период наблюдения индекс здоровь</w:t>
      </w:r>
      <w:r w:rsidR="001803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был выше у детей когорты 1995 </w:t>
      </w:r>
      <w:r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г.р. Если рассматривать динамику индекса по всем когортам, то можно отметить, что в целом </w:t>
      </w:r>
      <w:r w:rsidRPr="0000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мере взросления его величина возрастает</w:t>
      </w:r>
      <w:r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всех когортах величина индекса здоровья в 12 лет превышала значение индекса на первом году жизни. Расхождение величины повозрастных индексов здоровья для когорт минимально в период 4–9 лет. До 4 лет и после 9 лет расхождение выражено сильнее. Вероятно, именно в эти периоды усиливается влияние факторов внешней </w:t>
      </w:r>
      <w:r w:rsidR="009A48AF"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 а также</w:t>
      </w:r>
      <w:r w:rsidR="009A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8AF"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образа жизни родителей и самих детей </w:t>
      </w:r>
      <w:r w:rsidR="009A48AF"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9A48AF" w:rsidRPr="00005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</w:t>
      </w:r>
      <w:r w:rsidR="009A4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унок </w:t>
      </w:r>
      <w:r w:rsidR="009A48AF" w:rsidRPr="00005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9A48AF"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9F4C6D">
        <w:rPr>
          <w:noProof/>
          <w:lang w:eastAsia="ru-RU"/>
        </w:rPr>
        <w:drawing>
          <wp:inline distT="0" distB="0" distL="0" distR="0" wp14:anchorId="53D93953" wp14:editId="4F791325">
            <wp:extent cx="5743575" cy="24098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7F88" w:rsidRPr="00005E70" w:rsidRDefault="00B67F88" w:rsidP="00005E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70">
        <w:rPr>
          <w:rFonts w:ascii="Times New Roman" w:hAnsi="Times New Roman"/>
          <w:sz w:val="24"/>
          <w:szCs w:val="24"/>
        </w:rPr>
        <w:t xml:space="preserve">Рисунок </w:t>
      </w:r>
      <w:r w:rsidR="00005E70">
        <w:rPr>
          <w:rFonts w:ascii="Times New Roman" w:hAnsi="Times New Roman"/>
          <w:sz w:val="24"/>
          <w:szCs w:val="24"/>
        </w:rPr>
        <w:t>4</w:t>
      </w:r>
      <w:r w:rsidRPr="00005E70">
        <w:rPr>
          <w:rFonts w:ascii="Times New Roman" w:hAnsi="Times New Roman"/>
          <w:sz w:val="24"/>
          <w:szCs w:val="24"/>
        </w:rPr>
        <w:t>. Индекс здоровья детей (в %, по данным врачей)</w:t>
      </w:r>
    </w:p>
    <w:p w:rsidR="00B67F88" w:rsidRDefault="00B67F88" w:rsidP="00005E70">
      <w:pPr>
        <w:spacing w:after="120" w:line="240" w:lineRule="auto"/>
        <w:jc w:val="both"/>
        <w:rPr>
          <w:rFonts w:ascii="Times New Roman" w:hAnsi="Times New Roman"/>
          <w:sz w:val="20"/>
          <w:szCs w:val="24"/>
        </w:rPr>
      </w:pPr>
      <w:r w:rsidRPr="00005E70">
        <w:rPr>
          <w:rFonts w:ascii="Times New Roman" w:hAnsi="Times New Roman"/>
          <w:sz w:val="20"/>
          <w:szCs w:val="24"/>
        </w:rPr>
        <w:t>Источник: Мониторинг условий формирования здорового поколения / ИСЭРТ РАН, 1995-2016 гг.</w:t>
      </w:r>
    </w:p>
    <w:p w:rsidR="009A48AF" w:rsidRPr="00005E70" w:rsidRDefault="009A48AF" w:rsidP="00005E70">
      <w:pPr>
        <w:spacing w:after="120" w:line="240" w:lineRule="auto"/>
        <w:jc w:val="both"/>
        <w:rPr>
          <w:rFonts w:ascii="Times New Roman" w:hAnsi="Times New Roman"/>
          <w:sz w:val="20"/>
          <w:szCs w:val="24"/>
        </w:rPr>
      </w:pPr>
    </w:p>
    <w:p w:rsidR="00B67F88" w:rsidRPr="00005E70" w:rsidRDefault="00B67F88" w:rsidP="00005E70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время, есть определённые отличия по когортам. Так снижение индекса здоровья у детей 1995 г.р. происходило в 2, 5, 7, 10 лет, а также с 12 до 14 лет и на шестнадцатом году жизни. В когорте 1998 г.р. индекс здоровья снижался в 2, 5, 7, 9, 12, 15 и 16 лет. </w:t>
      </w:r>
    </w:p>
    <w:p w:rsidR="00B67F88" w:rsidRPr="00005E70" w:rsidRDefault="00B67F88" w:rsidP="00005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когортах 2001 и 2004 г.р. отмечен самый низкий индекс здоровья в возрасте 1 год. Для когорты 2004 г.р. характерно более длительное снижение индекса здоровья в раннем детстве: на протяжении второго и третьего года жизни, а не только до двух лет, как это имеет место в других когортах. </w:t>
      </w:r>
    </w:p>
    <w:p w:rsidR="00B67F88" w:rsidRPr="00005E70" w:rsidRDefault="00B67F88" w:rsidP="00005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этапа исследования 2016 года установлено, что средние значения роста и веса у детей в Вологодской области имеют территориальную специфику. В когорте детей 2014 г.р. максимальный средний рост детей зафиксирован в Вологде, минимальный – в районах; средний вес детей на всех территориях одинаков. Среди детей 2004 г.р. максимальный средний рост отмечен в Вологде, максимальный средний вес – в районах. В Череповце средний вес детей минимален, средний рост такой же, как в районах. В когорте детей 2001 г.р. минимальные показатели роста и веса зафиксированы в Череповце. В то же время, в когорте 1998 г.р. дети из Череповца в возрасте 17 лет отличались максимальными значениями роста и веса (</w:t>
      </w:r>
      <w:r w:rsidRPr="00005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</w:t>
      </w:r>
      <w:r w:rsidR="00005E70" w:rsidRPr="00005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унок 5</w:t>
      </w:r>
      <w:r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Основываясь на </w:t>
      </w:r>
      <w:r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приведённых распределениях, можно сделать вывод о существовании территориальных особенностей физического развития детей, а также особенностей физического развития когорт, обусловленных влиянием внешних условий жизни.</w:t>
      </w:r>
    </w:p>
    <w:p w:rsidR="00B67F88" w:rsidRPr="00B67F88" w:rsidRDefault="00B67F88" w:rsidP="009A48AF">
      <w:pPr>
        <w:pStyle w:val="a4"/>
        <w:keepNext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6D">
        <w:rPr>
          <w:noProof/>
          <w:lang w:eastAsia="ru-RU"/>
        </w:rPr>
        <w:drawing>
          <wp:inline distT="0" distB="0" distL="0" distR="0" wp14:anchorId="72E06527" wp14:editId="25958CE5">
            <wp:extent cx="5543551" cy="3014663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7F88" w:rsidRPr="00B67F88" w:rsidRDefault="00B67F88" w:rsidP="00005E70">
      <w:pPr>
        <w:pStyle w:val="a4"/>
        <w:spacing w:after="0" w:line="240" w:lineRule="auto"/>
        <w:ind w:left="12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F88">
        <w:rPr>
          <w:rFonts w:ascii="Times New Roman" w:hAnsi="Times New Roman"/>
          <w:sz w:val="24"/>
          <w:szCs w:val="24"/>
        </w:rPr>
        <w:t xml:space="preserve">Рисунок </w:t>
      </w:r>
      <w:r w:rsidR="00005E70">
        <w:rPr>
          <w:rFonts w:ascii="Times New Roman" w:hAnsi="Times New Roman"/>
          <w:sz w:val="24"/>
          <w:szCs w:val="24"/>
        </w:rPr>
        <w:t>5</w:t>
      </w:r>
      <w:r w:rsidRPr="00B67F88">
        <w:rPr>
          <w:rFonts w:ascii="Times New Roman" w:hAnsi="Times New Roman"/>
          <w:sz w:val="24"/>
          <w:szCs w:val="24"/>
        </w:rPr>
        <w:t>. Весоростовая гистограмма (средние значения роста и веса детей когорт 2014, 2004, 2001, 1998 г.р.)</w:t>
      </w:r>
    </w:p>
    <w:p w:rsidR="00B67F88" w:rsidRPr="00B67F88" w:rsidRDefault="00B67F88" w:rsidP="00005E70">
      <w:pPr>
        <w:pStyle w:val="a4"/>
        <w:spacing w:after="120" w:line="240" w:lineRule="auto"/>
        <w:ind w:left="1211"/>
        <w:jc w:val="both"/>
        <w:rPr>
          <w:rFonts w:ascii="Times New Roman" w:hAnsi="Times New Roman"/>
          <w:sz w:val="20"/>
          <w:szCs w:val="24"/>
        </w:rPr>
      </w:pPr>
      <w:r w:rsidRPr="00B67F88">
        <w:rPr>
          <w:rFonts w:ascii="Times New Roman" w:hAnsi="Times New Roman"/>
          <w:sz w:val="20"/>
          <w:szCs w:val="24"/>
        </w:rPr>
        <w:t>Источник: Мониторинг условий формирования здорового поколения / ИСЭРТ РАН, 2015, 2016 г.</w:t>
      </w:r>
    </w:p>
    <w:p w:rsidR="009A48AF" w:rsidRDefault="009A48AF" w:rsidP="00005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F88" w:rsidRPr="00005E70" w:rsidRDefault="00B67F88" w:rsidP="00005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Углубленное изучение нервно-психического развития детей выбранных когорт позволило выдвинуть предположение о том, что Образовательный процесс выступает фактором снижения здоровья, избирательно действующим на тех детей, кто проявляет более высокую учебную мотивацию.</w:t>
      </w:r>
    </w:p>
    <w:p w:rsidR="00B67F88" w:rsidRPr="00005E70" w:rsidRDefault="00B67F88" w:rsidP="00005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E70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Успешность учебной деятельности зависит от самочувствия ребёнка, состояния его здоровья. В то же время, в когорте 2004 г.р. в возрасте 10 лет лучшая академическая успеваемость наблюдается у детей, имеющих нарушения здоровья. Так, среди здоровых детей нет «отличников», 60% учатся на «4» и «5»; среди детей со второй группой здоровья уже присутствуют 5% «отличников», 68% учатся на «4» и «5». В отличие от детей с первой и второй группами здоровья, среди тех, то имеет серьёзные нарушения здоровья (</w:t>
      </w:r>
      <w:r w:rsidRPr="00005E7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00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005E7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</w:t>
      </w:r>
      <w:r w:rsidRPr="0000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здоровья), нет «троечников», 75% из них учатся на «4» и «5» (</w:t>
      </w:r>
      <w:r w:rsidRPr="00005E7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рис</w:t>
      </w:r>
      <w:r w:rsidR="00005E70" w:rsidRPr="00005E7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унок 6</w:t>
      </w:r>
      <w:r w:rsidRPr="00005E70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B67F88" w:rsidRPr="00005E70" w:rsidRDefault="00B67F88" w:rsidP="00005E70">
      <w:pPr>
        <w:keepNext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6D">
        <w:rPr>
          <w:noProof/>
          <w:lang w:eastAsia="ru-RU"/>
        </w:rPr>
        <w:lastRenderedPageBreak/>
        <w:drawing>
          <wp:inline distT="0" distB="0" distL="0" distR="0" wp14:anchorId="754AED41" wp14:editId="567CBC11">
            <wp:extent cx="3276600" cy="21240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67F88" w:rsidRPr="00005E70" w:rsidRDefault="00B67F88" w:rsidP="00005E70">
      <w:p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005E70">
        <w:rPr>
          <w:rFonts w:ascii="Times New Roman" w:hAnsi="Times New Roman"/>
          <w:sz w:val="24"/>
          <w:szCs w:val="24"/>
        </w:rPr>
        <w:t xml:space="preserve">Рисунок </w:t>
      </w:r>
      <w:r w:rsidR="00005E70">
        <w:rPr>
          <w:rFonts w:ascii="Times New Roman" w:hAnsi="Times New Roman"/>
          <w:sz w:val="24"/>
          <w:szCs w:val="24"/>
        </w:rPr>
        <w:t>6</w:t>
      </w:r>
      <w:r w:rsidRPr="00005E70">
        <w:rPr>
          <w:rFonts w:ascii="Times New Roman" w:hAnsi="Times New Roman"/>
          <w:sz w:val="24"/>
          <w:szCs w:val="24"/>
        </w:rPr>
        <w:t>. Распределение ответов детей на вопрос: «Какие оценки ты чаще всего получаешь?», в % от числа опрошенных</w:t>
      </w:r>
    </w:p>
    <w:p w:rsidR="00005E70" w:rsidRDefault="00B67F88" w:rsidP="009A48AF">
      <w:pPr>
        <w:spacing w:after="120" w:line="240" w:lineRule="auto"/>
        <w:rPr>
          <w:rFonts w:ascii="Times New Roman" w:hAnsi="Times New Roman"/>
          <w:sz w:val="20"/>
          <w:szCs w:val="24"/>
        </w:rPr>
      </w:pPr>
      <w:r w:rsidRPr="00005E70">
        <w:rPr>
          <w:rFonts w:ascii="Times New Roman" w:hAnsi="Times New Roman"/>
          <w:sz w:val="20"/>
          <w:szCs w:val="24"/>
        </w:rPr>
        <w:t xml:space="preserve">Примечание: </w:t>
      </w:r>
      <w:r w:rsidRPr="00005E70">
        <w:rPr>
          <w:rFonts w:ascii="Times New Roman" w:hAnsi="Times New Roman"/>
          <w:sz w:val="20"/>
          <w:szCs w:val="24"/>
          <w:lang w:val="en-US"/>
        </w:rPr>
        <w:t>I</w:t>
      </w:r>
      <w:r w:rsidRPr="00005E70">
        <w:rPr>
          <w:rFonts w:ascii="Times New Roman" w:hAnsi="Times New Roman"/>
          <w:sz w:val="20"/>
          <w:szCs w:val="24"/>
        </w:rPr>
        <w:t xml:space="preserve">, </w:t>
      </w:r>
      <w:r w:rsidRPr="00005E70">
        <w:rPr>
          <w:rFonts w:ascii="Times New Roman" w:hAnsi="Times New Roman"/>
          <w:sz w:val="20"/>
          <w:szCs w:val="24"/>
          <w:lang w:val="en-US"/>
        </w:rPr>
        <w:t>II</w:t>
      </w:r>
      <w:r w:rsidRPr="00005E70">
        <w:rPr>
          <w:rFonts w:ascii="Times New Roman" w:hAnsi="Times New Roman"/>
          <w:sz w:val="20"/>
          <w:szCs w:val="24"/>
        </w:rPr>
        <w:t xml:space="preserve">, </w:t>
      </w:r>
      <w:r w:rsidRPr="00005E70">
        <w:rPr>
          <w:rFonts w:ascii="Times New Roman" w:hAnsi="Times New Roman"/>
          <w:sz w:val="20"/>
          <w:szCs w:val="24"/>
          <w:lang w:val="en-US"/>
        </w:rPr>
        <w:t>III</w:t>
      </w:r>
      <w:r w:rsidRPr="00005E70">
        <w:rPr>
          <w:rFonts w:ascii="Times New Roman" w:hAnsi="Times New Roman"/>
          <w:sz w:val="20"/>
          <w:szCs w:val="24"/>
        </w:rPr>
        <w:t xml:space="preserve"> и </w:t>
      </w:r>
      <w:r w:rsidRPr="00005E70">
        <w:rPr>
          <w:rFonts w:ascii="Times New Roman" w:hAnsi="Times New Roman"/>
          <w:sz w:val="20"/>
          <w:szCs w:val="24"/>
          <w:lang w:val="en-US"/>
        </w:rPr>
        <w:t>IV</w:t>
      </w:r>
      <w:r w:rsidRPr="00005E70">
        <w:rPr>
          <w:rFonts w:ascii="Times New Roman" w:hAnsi="Times New Roman"/>
          <w:sz w:val="20"/>
          <w:szCs w:val="24"/>
        </w:rPr>
        <w:t xml:space="preserve"> – группы здоровья детей</w:t>
      </w:r>
    </w:p>
    <w:p w:rsidR="009A48AF" w:rsidRPr="009A48AF" w:rsidRDefault="009A48AF" w:rsidP="009A48AF">
      <w:pPr>
        <w:spacing w:after="120" w:line="240" w:lineRule="auto"/>
        <w:rPr>
          <w:rFonts w:ascii="Times New Roman" w:hAnsi="Times New Roman"/>
          <w:sz w:val="20"/>
          <w:szCs w:val="24"/>
        </w:rPr>
      </w:pPr>
    </w:p>
    <w:p w:rsidR="005965FB" w:rsidRPr="00B67F88" w:rsidRDefault="005965FB" w:rsidP="00005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Обоснованы </w:t>
      </w:r>
      <w:r w:rsidR="0000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B6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укреплению и улучшению здоровья детского населения. </w:t>
      </w:r>
    </w:p>
    <w:p w:rsidR="005965FB" w:rsidRPr="005965FB" w:rsidRDefault="005965FB" w:rsidP="004D606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 сохранение охвата детей профилактическими мероприятиями на уровне 100%.</w:t>
      </w:r>
    </w:p>
    <w:p w:rsidR="005965FB" w:rsidRPr="005965FB" w:rsidRDefault="005965FB" w:rsidP="004D606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спектра и наращивание объёма государственной поддержки (с учётом имеющихся объективных бюджетных ограничений) семей с детьми.</w:t>
      </w:r>
    </w:p>
    <w:p w:rsidR="005965FB" w:rsidRPr="005965FB" w:rsidRDefault="005965FB" w:rsidP="004D606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спектра мероприятий, направленных на профилактику и коррекцию нарушений здоровья детей в критических возрастах (наиболее подверженных рискам снижения здоровья). </w:t>
      </w:r>
    </w:p>
    <w:p w:rsidR="005965FB" w:rsidRPr="005965FB" w:rsidRDefault="005965FB" w:rsidP="004D606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школьных мероприятий по сохранению и укреплению психологического здоровья детей</w:t>
      </w:r>
    </w:p>
    <w:p w:rsidR="005965FB" w:rsidRPr="005965FB" w:rsidRDefault="005965FB" w:rsidP="004D606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 по обеспечению взаимодействия основных акторов, влияющих на здоровье детей (учреждения здравоохранения, семья, школа); по повышению воспитательного потенциала родителей, информированию о способах профилактики, факторах риска здоровья детей.</w:t>
      </w:r>
    </w:p>
    <w:p w:rsidR="0007552E" w:rsidRDefault="0007552E" w:rsidP="004D6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1803BF" w:rsidRDefault="001803BF" w:rsidP="004D6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1803BF" w:rsidRDefault="001803BF" w:rsidP="004D6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1803BF" w:rsidRPr="001803BF" w:rsidRDefault="001803BF" w:rsidP="001803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803BF">
        <w:rPr>
          <w:rFonts w:ascii="Times New Roman" w:hAnsi="Times New Roman" w:cs="Times New Roman"/>
          <w:sz w:val="28"/>
        </w:rPr>
        <w:lastRenderedPageBreak/>
        <w:t>***</w:t>
      </w:r>
    </w:p>
    <w:p w:rsidR="001803BF" w:rsidRPr="001803BF" w:rsidRDefault="001803BF" w:rsidP="001803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803BF" w:rsidRPr="0007552E" w:rsidRDefault="001803BF" w:rsidP="004D6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</w:p>
    <w:sectPr w:rsidR="001803BF" w:rsidRPr="0007552E" w:rsidSect="009A48AF">
      <w:footerReference w:type="default" r:id="rId15"/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BF" w:rsidRDefault="001803BF" w:rsidP="003336AA">
      <w:pPr>
        <w:spacing w:after="0" w:line="240" w:lineRule="auto"/>
      </w:pPr>
      <w:r>
        <w:separator/>
      </w:r>
    </w:p>
  </w:endnote>
  <w:endnote w:type="continuationSeparator" w:id="0">
    <w:p w:rsidR="001803BF" w:rsidRDefault="001803BF" w:rsidP="0033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0132897"/>
      <w:docPartObj>
        <w:docPartGallery w:val="Page Numbers (Bottom of Page)"/>
        <w:docPartUnique/>
      </w:docPartObj>
    </w:sdtPr>
    <w:sdtContent>
      <w:p w:rsidR="001803BF" w:rsidRDefault="00180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C2">
          <w:rPr>
            <w:noProof/>
          </w:rPr>
          <w:t>24</w:t>
        </w:r>
        <w:r>
          <w:fldChar w:fldCharType="end"/>
        </w:r>
      </w:p>
    </w:sdtContent>
  </w:sdt>
  <w:p w:rsidR="001803BF" w:rsidRDefault="001803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BF" w:rsidRDefault="001803BF" w:rsidP="003336AA">
      <w:pPr>
        <w:spacing w:after="0" w:line="240" w:lineRule="auto"/>
      </w:pPr>
      <w:r>
        <w:separator/>
      </w:r>
    </w:p>
  </w:footnote>
  <w:footnote w:type="continuationSeparator" w:id="0">
    <w:p w:rsidR="001803BF" w:rsidRDefault="001803BF" w:rsidP="0033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D91"/>
    <w:multiLevelType w:val="hybridMultilevel"/>
    <w:tmpl w:val="F4F88960"/>
    <w:lvl w:ilvl="0" w:tplc="A3C0AF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FE7"/>
    <w:multiLevelType w:val="hybridMultilevel"/>
    <w:tmpl w:val="33467C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7631A7"/>
    <w:multiLevelType w:val="hybridMultilevel"/>
    <w:tmpl w:val="11B488FA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 w15:restartNumberingAfterBreak="0">
    <w:nsid w:val="35CD254D"/>
    <w:multiLevelType w:val="hybridMultilevel"/>
    <w:tmpl w:val="66C2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62553"/>
    <w:multiLevelType w:val="multilevel"/>
    <w:tmpl w:val="4B0ED6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0262526"/>
    <w:multiLevelType w:val="multilevel"/>
    <w:tmpl w:val="D3FE5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7C46C38"/>
    <w:multiLevelType w:val="multilevel"/>
    <w:tmpl w:val="232C9B18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7F416F4"/>
    <w:multiLevelType w:val="hybridMultilevel"/>
    <w:tmpl w:val="F98A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FC"/>
    <w:rsid w:val="00005E70"/>
    <w:rsid w:val="0007552E"/>
    <w:rsid w:val="000F4748"/>
    <w:rsid w:val="0015652D"/>
    <w:rsid w:val="001803BF"/>
    <w:rsid w:val="001A62C2"/>
    <w:rsid w:val="002218A4"/>
    <w:rsid w:val="002C2530"/>
    <w:rsid w:val="003336AA"/>
    <w:rsid w:val="004B5F71"/>
    <w:rsid w:val="004D606B"/>
    <w:rsid w:val="005965FB"/>
    <w:rsid w:val="00601B98"/>
    <w:rsid w:val="00802167"/>
    <w:rsid w:val="009249BA"/>
    <w:rsid w:val="009A48AF"/>
    <w:rsid w:val="00A11FFC"/>
    <w:rsid w:val="00B67F88"/>
    <w:rsid w:val="00D03B05"/>
    <w:rsid w:val="00D671AD"/>
    <w:rsid w:val="00DD30BD"/>
    <w:rsid w:val="00F24F30"/>
    <w:rsid w:val="00FB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C177B"/>
  <w15:chartTrackingRefBased/>
  <w15:docId w15:val="{CEABAC30-30D6-43E6-BFD5-103F3D6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5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6AA"/>
  </w:style>
  <w:style w:type="paragraph" w:styleId="a7">
    <w:name w:val="footer"/>
    <w:basedOn w:val="a"/>
    <w:link w:val="a8"/>
    <w:uiPriority w:val="99"/>
    <w:unhideWhenUsed/>
    <w:rsid w:val="003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.vscc.ac.ru/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521459421175425"/>
          <c:y val="1.8095238095238123E-2"/>
          <c:w val="0.54055695200533249"/>
          <c:h val="0.91617954055070461"/>
        </c:manualLayout>
      </c:layout>
      <c:barChart>
        <c:barDir val="bar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чистовик!$A$36:$A$42</c:f>
              <c:strCache>
                <c:ptCount val="7"/>
                <c:pt idx="0">
                  <c:v>Низкий уровень коммуникативных навыков</c:v>
                </c:pt>
                <c:pt idx="1">
                  <c:v>Низкий уровень организации работы и освоения методов управления</c:v>
                </c:pt>
                <c:pt idx="2">
                  <c:v>Неумение осваивать новые технологии</c:v>
                </c:pt>
                <c:pt idx="3">
                  <c:v>Низкий уровень трудовой и исполнительской дисциплины</c:v>
                </c:pt>
                <c:pt idx="4">
                  <c:v>Низкий уровень профессиональной подготовки в образовательной организации</c:v>
                </c:pt>
                <c:pt idx="5">
                  <c:v>Недостаточная мотивация к качественному выполнению должностных обязанностей</c:v>
                </c:pt>
                <c:pt idx="6">
                  <c:v>Отсутствие необходимого опыта работы (незначительный трудовой стаж)</c:v>
                </c:pt>
              </c:strCache>
            </c:strRef>
          </c:cat>
          <c:val>
            <c:numRef>
              <c:f>чистовик!$B$36:$B$42</c:f>
              <c:numCache>
                <c:formatCode>0.0</c:formatCode>
                <c:ptCount val="7"/>
                <c:pt idx="0">
                  <c:v>1.9000000000000001</c:v>
                </c:pt>
                <c:pt idx="1">
                  <c:v>4.2</c:v>
                </c:pt>
                <c:pt idx="2">
                  <c:v>7</c:v>
                </c:pt>
                <c:pt idx="3">
                  <c:v>18.2</c:v>
                </c:pt>
                <c:pt idx="4">
                  <c:v>25.2</c:v>
                </c:pt>
                <c:pt idx="5">
                  <c:v>31.5</c:v>
                </c:pt>
                <c:pt idx="6">
                  <c:v>76.2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E1-481F-87F6-7B2E7A412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408192"/>
        <c:axId val="168731008"/>
      </c:barChart>
      <c:catAx>
        <c:axId val="168408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8731008"/>
        <c:crosses val="autoZero"/>
        <c:auto val="1"/>
        <c:lblAlgn val="ctr"/>
        <c:lblOffset val="100"/>
        <c:noMultiLvlLbl val="0"/>
      </c:catAx>
      <c:valAx>
        <c:axId val="168731008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84081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6031746031746057"/>
          <c:y val="3.4013605442176887E-3"/>
          <c:w val="0.50396825396825373"/>
          <c:h val="0.92517006802721069"/>
        </c:manualLayout>
      </c:layout>
      <c:barChart>
        <c:barDir val="bar"/>
        <c:grouping val="clustered"/>
        <c:varyColors val="0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4724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Лист2!$A$23:$A$32</c:f>
              <c:strCache>
                <c:ptCount val="10"/>
                <c:pt idx="0">
                  <c:v>Проблемы со здоровьем</c:v>
                </c:pt>
                <c:pt idx="1">
                  <c:v>Система организации труда</c:v>
                </c:pt>
                <c:pt idx="2">
                  <c:v>Несправедливое начисление заработной платы</c:v>
                </c:pt>
                <c:pt idx="3">
                  <c:v>Семейные проблемы</c:v>
                </c:pt>
                <c:pt idx="4">
                  <c:v>Неорганизованность (лень)</c:v>
                </c:pt>
                <c:pt idx="5">
                  <c:v>Отсутствие интереса к работе</c:v>
                </c:pt>
                <c:pt idx="6">
                  <c:v>Несоответствие работы Вашим способностям и склонностям</c:v>
                </c:pt>
                <c:pt idx="7">
                  <c:v>Неудобный график работы</c:v>
                </c:pt>
                <c:pt idx="8">
                  <c:v>Работа не по специальности</c:v>
                </c:pt>
                <c:pt idx="9">
                  <c:v>Недостаток профессиональных знаний</c:v>
                </c:pt>
              </c:strCache>
            </c:strRef>
          </c:cat>
          <c:val>
            <c:numRef>
              <c:f>Лист2!$B$23:$B$32</c:f>
              <c:numCache>
                <c:formatCode>0.0</c:formatCode>
                <c:ptCount val="10"/>
                <c:pt idx="0" formatCode="###0.0">
                  <c:v>7.1186440677966081</c:v>
                </c:pt>
                <c:pt idx="1">
                  <c:v>9.4915254237288131</c:v>
                </c:pt>
                <c:pt idx="2">
                  <c:v>9.8305084745762716</c:v>
                </c:pt>
                <c:pt idx="3">
                  <c:v>10.169491525423732</c:v>
                </c:pt>
                <c:pt idx="4">
                  <c:v>10.508474576271187</c:v>
                </c:pt>
                <c:pt idx="5">
                  <c:v>11.186440677966106</c:v>
                </c:pt>
                <c:pt idx="6">
                  <c:v>11.525423728813555</c:v>
                </c:pt>
                <c:pt idx="7">
                  <c:v>12.203389830508474</c:v>
                </c:pt>
                <c:pt idx="8">
                  <c:v>15.932203389830505</c:v>
                </c:pt>
                <c:pt idx="9">
                  <c:v>17.966101694915245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EE-4E19-96F0-FFACAE0ED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854656"/>
        <c:axId val="168856192"/>
      </c:barChart>
      <c:catAx>
        <c:axId val="168854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8856192"/>
        <c:crosses val="autoZero"/>
        <c:auto val="1"/>
        <c:lblAlgn val="ctr"/>
        <c:lblOffset val="100"/>
        <c:noMultiLvlLbl val="0"/>
      </c:catAx>
      <c:valAx>
        <c:axId val="168856192"/>
        <c:scaling>
          <c:orientation val="minMax"/>
        </c:scaling>
        <c:delete val="0"/>
        <c:axPos val="b"/>
        <c:numFmt formatCode="###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8854656"/>
        <c:crosses val="autoZero"/>
        <c:crossBetween val="between"/>
        <c:majorUnit val="4"/>
      </c:valAx>
      <c:spPr>
        <a:noFill/>
        <a:ln w="2472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3477898345708895E-2"/>
          <c:y val="2.7312223089835514E-2"/>
          <c:w val="0.70629759658195612"/>
          <c:h val="0.720438379753685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Лист2!$B$29</c:f>
              <c:strCache>
                <c:ptCount val="1"/>
                <c:pt idx="0">
                  <c:v>1 группа (здоровые дети)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134751773049642E-2"/>
                  <c:y val="-1.98634349744258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BBC-496F-B693-7B63674C9E5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BC-496F-B693-7B63674C9E52}"/>
                </c:ext>
              </c:extLst>
            </c:dLbl>
            <c:dLbl>
              <c:idx val="4"/>
              <c:layout>
                <c:manualLayout>
                  <c:x val="1.1347517730496455E-2"/>
                  <c:y val="-2.234636434622914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BBC-496F-B693-7B63674C9E52}"/>
                </c:ext>
              </c:extLst>
            </c:dLbl>
            <c:dLbl>
              <c:idx val="5"/>
              <c:layout>
                <c:manualLayout>
                  <c:x val="1.924104756814537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BBC-496F-B693-7B63674C9E52}"/>
                </c:ext>
              </c:extLst>
            </c:dLbl>
            <c:dLbl>
              <c:idx val="7"/>
              <c:layout>
                <c:manualLayout>
                  <c:x val="1.7103153393907E-2"/>
                  <c:y val="-1.1575767354411231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BBC-496F-B693-7B63674C9E5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BC-496F-B693-7B63674C9E52}"/>
                </c:ext>
              </c:extLst>
            </c:dLbl>
            <c:dLbl>
              <c:idx val="9"/>
              <c:layout>
                <c:manualLayout>
                  <c:x val="1.134751773049642E-2"/>
                  <c:y val="-2.23463643462290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BBC-496F-B693-7B63674C9E52}"/>
                </c:ext>
              </c:extLst>
            </c:dLbl>
            <c:dLbl>
              <c:idx val="10"/>
              <c:layout>
                <c:manualLayout>
                  <c:x val="9.4562647754137114E-3"/>
                  <c:y val="-2.48292937180322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BBC-496F-B693-7B63674C9E5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Лист2!$C$27:$Q$28</c:f>
              <c:multiLvlStrCache>
                <c:ptCount val="15"/>
                <c:lvl>
                  <c:pt idx="0">
                    <c:v>Новорожденные</c:v>
                  </c:pt>
                  <c:pt idx="1">
                    <c:v>1 год</c:v>
                  </c:pt>
                  <c:pt idx="2">
                    <c:v>2 года</c:v>
                  </c:pt>
                  <c:pt idx="3">
                    <c:v>Новорожденные</c:v>
                  </c:pt>
                  <c:pt idx="4">
                    <c:v>1 год</c:v>
                  </c:pt>
                  <c:pt idx="5">
                    <c:v>2 года</c:v>
                  </c:pt>
                  <c:pt idx="6">
                    <c:v>Новорожденные</c:v>
                  </c:pt>
                  <c:pt idx="7">
                    <c:v>1 год</c:v>
                  </c:pt>
                  <c:pt idx="8">
                    <c:v>2 года</c:v>
                  </c:pt>
                  <c:pt idx="9">
                    <c:v>Новорожденные</c:v>
                  </c:pt>
                  <c:pt idx="10">
                    <c:v>1 год</c:v>
                  </c:pt>
                  <c:pt idx="11">
                    <c:v>2 года</c:v>
                  </c:pt>
                  <c:pt idx="12">
                    <c:v>Новорожденные</c:v>
                  </c:pt>
                  <c:pt idx="13">
                    <c:v>1 год</c:v>
                  </c:pt>
                  <c:pt idx="14">
                    <c:v>2 года</c:v>
                  </c:pt>
                </c:lvl>
                <c:lvl>
                  <c:pt idx="0">
                    <c:v>1995 г.р.</c:v>
                  </c:pt>
                  <c:pt idx="3">
                    <c:v>1998 г.р.</c:v>
                  </c:pt>
                  <c:pt idx="6">
                    <c:v>2001 г.р.</c:v>
                  </c:pt>
                  <c:pt idx="9">
                    <c:v>2005 г.р.</c:v>
                  </c:pt>
                  <c:pt idx="12">
                    <c:v>2014 г.р.</c:v>
                  </c:pt>
                </c:lvl>
              </c:multiLvlStrCache>
            </c:multiLvlStrRef>
          </c:cat>
          <c:val>
            <c:numRef>
              <c:f>Лист2!$C$29:$Q$29</c:f>
              <c:numCache>
                <c:formatCode>General</c:formatCode>
                <c:ptCount val="15"/>
                <c:pt idx="0">
                  <c:v>8.3000000000000007</c:v>
                </c:pt>
                <c:pt idx="1">
                  <c:v>1.4</c:v>
                </c:pt>
                <c:pt idx="2">
                  <c:v>0</c:v>
                </c:pt>
                <c:pt idx="3">
                  <c:v>5.5</c:v>
                </c:pt>
                <c:pt idx="4">
                  <c:v>1.3</c:v>
                </c:pt>
                <c:pt idx="5">
                  <c:v>2</c:v>
                </c:pt>
                <c:pt idx="6">
                  <c:v>5.8</c:v>
                </c:pt>
                <c:pt idx="7">
                  <c:v>4.4000000000000004</c:v>
                </c:pt>
                <c:pt idx="8">
                  <c:v>0</c:v>
                </c:pt>
                <c:pt idx="9">
                  <c:v>1.2</c:v>
                </c:pt>
                <c:pt idx="10">
                  <c:v>0.7</c:v>
                </c:pt>
                <c:pt idx="11">
                  <c:v>6.6</c:v>
                </c:pt>
                <c:pt idx="12">
                  <c:v>14.5</c:v>
                </c:pt>
                <c:pt idx="13">
                  <c:v>11.4</c:v>
                </c:pt>
                <c:pt idx="14">
                  <c:v>17.600000000000001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BBC-496F-B693-7B63674C9E52}"/>
            </c:ext>
          </c:extLst>
        </c:ser>
        <c:ser>
          <c:idx val="1"/>
          <c:order val="1"/>
          <c:tx>
            <c:strRef>
              <c:f>Лист2!$B$30</c:f>
              <c:strCache>
                <c:ptCount val="1"/>
                <c:pt idx="0">
                  <c:v>2А группа (дети с минимальной степенью риска формирования хронических заболеваний)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0"/>
                  <c:y val="-1.57853196527229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BBC-496F-B693-7B63674C9E5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BBC-496F-B693-7B63674C9E5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BC-496F-B693-7B63674C9E5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BBC-496F-B693-7B63674C9E5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BC-496F-B693-7B63674C9E5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Лист2!$C$27:$Q$28</c:f>
              <c:multiLvlStrCache>
                <c:ptCount val="15"/>
                <c:lvl>
                  <c:pt idx="0">
                    <c:v>Новорожденные</c:v>
                  </c:pt>
                  <c:pt idx="1">
                    <c:v>1 год</c:v>
                  </c:pt>
                  <c:pt idx="2">
                    <c:v>2 года</c:v>
                  </c:pt>
                  <c:pt idx="3">
                    <c:v>Новорожденные</c:v>
                  </c:pt>
                  <c:pt idx="4">
                    <c:v>1 год</c:v>
                  </c:pt>
                  <c:pt idx="5">
                    <c:v>2 года</c:v>
                  </c:pt>
                  <c:pt idx="6">
                    <c:v>Новорожденные</c:v>
                  </c:pt>
                  <c:pt idx="7">
                    <c:v>1 год</c:v>
                  </c:pt>
                  <c:pt idx="8">
                    <c:v>2 года</c:v>
                  </c:pt>
                  <c:pt idx="9">
                    <c:v>Новорожденные</c:v>
                  </c:pt>
                  <c:pt idx="10">
                    <c:v>1 год</c:v>
                  </c:pt>
                  <c:pt idx="11">
                    <c:v>2 года</c:v>
                  </c:pt>
                  <c:pt idx="12">
                    <c:v>Новорожденные</c:v>
                  </c:pt>
                  <c:pt idx="13">
                    <c:v>1 год</c:v>
                  </c:pt>
                  <c:pt idx="14">
                    <c:v>2 года</c:v>
                  </c:pt>
                </c:lvl>
                <c:lvl>
                  <c:pt idx="0">
                    <c:v>1995 г.р.</c:v>
                  </c:pt>
                  <c:pt idx="3">
                    <c:v>1998 г.р.</c:v>
                  </c:pt>
                  <c:pt idx="6">
                    <c:v>2001 г.р.</c:v>
                  </c:pt>
                  <c:pt idx="9">
                    <c:v>2005 г.р.</c:v>
                  </c:pt>
                  <c:pt idx="12">
                    <c:v>2014 г.р.</c:v>
                  </c:pt>
                </c:lvl>
              </c:multiLvlStrCache>
            </c:multiLvlStrRef>
          </c:cat>
          <c:val>
            <c:numRef>
              <c:f>Лист2!$C$30:$Q$30</c:f>
              <c:numCache>
                <c:formatCode>General</c:formatCode>
                <c:ptCount val="15"/>
                <c:pt idx="0">
                  <c:v>59.7</c:v>
                </c:pt>
                <c:pt idx="1">
                  <c:v>20.8</c:v>
                </c:pt>
                <c:pt idx="2">
                  <c:v>14.5</c:v>
                </c:pt>
                <c:pt idx="3">
                  <c:v>39.200000000000003</c:v>
                </c:pt>
                <c:pt idx="4">
                  <c:v>14</c:v>
                </c:pt>
                <c:pt idx="5">
                  <c:v>0</c:v>
                </c:pt>
                <c:pt idx="6">
                  <c:v>31.9</c:v>
                </c:pt>
                <c:pt idx="7">
                  <c:v>0</c:v>
                </c:pt>
                <c:pt idx="8">
                  <c:v>0</c:v>
                </c:pt>
                <c:pt idx="9">
                  <c:v>62.3</c:v>
                </c:pt>
                <c:pt idx="10">
                  <c:v>41.7</c:v>
                </c:pt>
                <c:pt idx="11">
                  <c:v>0</c:v>
                </c:pt>
                <c:pt idx="12">
                  <c:v>54.8</c:v>
                </c:pt>
                <c:pt idx="13">
                  <c:v>58.6</c:v>
                </c:pt>
                <c:pt idx="14">
                  <c:v>59.2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BBC-496F-B693-7B63674C9E52}"/>
            </c:ext>
          </c:extLst>
        </c:ser>
        <c:ser>
          <c:idx val="2"/>
          <c:order val="2"/>
          <c:tx>
            <c:strRef>
              <c:f>Лист2!$B$31</c:f>
              <c:strCache>
                <c:ptCount val="1"/>
                <c:pt idx="0">
                  <c:v>2Б группа (дети, имеющие функциональные и морфологические отклонения)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Лист2!$C$27:$Q$28</c:f>
              <c:multiLvlStrCache>
                <c:ptCount val="15"/>
                <c:lvl>
                  <c:pt idx="0">
                    <c:v>Новорожденные</c:v>
                  </c:pt>
                  <c:pt idx="1">
                    <c:v>1 год</c:v>
                  </c:pt>
                  <c:pt idx="2">
                    <c:v>2 года</c:v>
                  </c:pt>
                  <c:pt idx="3">
                    <c:v>Новорожденные</c:v>
                  </c:pt>
                  <c:pt idx="4">
                    <c:v>1 год</c:v>
                  </c:pt>
                  <c:pt idx="5">
                    <c:v>2 года</c:v>
                  </c:pt>
                  <c:pt idx="6">
                    <c:v>Новорожденные</c:v>
                  </c:pt>
                  <c:pt idx="7">
                    <c:v>1 год</c:v>
                  </c:pt>
                  <c:pt idx="8">
                    <c:v>2 года</c:v>
                  </c:pt>
                  <c:pt idx="9">
                    <c:v>Новорожденные</c:v>
                  </c:pt>
                  <c:pt idx="10">
                    <c:v>1 год</c:v>
                  </c:pt>
                  <c:pt idx="11">
                    <c:v>2 года</c:v>
                  </c:pt>
                  <c:pt idx="12">
                    <c:v>Новорожденные</c:v>
                  </c:pt>
                  <c:pt idx="13">
                    <c:v>1 год</c:v>
                  </c:pt>
                  <c:pt idx="14">
                    <c:v>2 года</c:v>
                  </c:pt>
                </c:lvl>
                <c:lvl>
                  <c:pt idx="0">
                    <c:v>1995 г.р.</c:v>
                  </c:pt>
                  <c:pt idx="3">
                    <c:v>1998 г.р.</c:v>
                  </c:pt>
                  <c:pt idx="6">
                    <c:v>2001 г.р.</c:v>
                  </c:pt>
                  <c:pt idx="9">
                    <c:v>2005 г.р.</c:v>
                  </c:pt>
                  <c:pt idx="12">
                    <c:v>2014 г.р.</c:v>
                  </c:pt>
                </c:lvl>
              </c:multiLvlStrCache>
            </c:multiLvlStrRef>
          </c:cat>
          <c:val>
            <c:numRef>
              <c:f>Лист2!$C$31:$Q$31</c:f>
              <c:numCache>
                <c:formatCode>General</c:formatCode>
                <c:ptCount val="15"/>
                <c:pt idx="0">
                  <c:v>29.2</c:v>
                </c:pt>
                <c:pt idx="1">
                  <c:v>70.8</c:v>
                </c:pt>
                <c:pt idx="2">
                  <c:v>72.5</c:v>
                </c:pt>
                <c:pt idx="3">
                  <c:v>46.3</c:v>
                </c:pt>
                <c:pt idx="4">
                  <c:v>72.7</c:v>
                </c:pt>
                <c:pt idx="5">
                  <c:v>81.900000000000006</c:v>
                </c:pt>
                <c:pt idx="6">
                  <c:v>58.5</c:v>
                </c:pt>
                <c:pt idx="7">
                  <c:v>88.5</c:v>
                </c:pt>
                <c:pt idx="8">
                  <c:v>88.6</c:v>
                </c:pt>
                <c:pt idx="9">
                  <c:v>34</c:v>
                </c:pt>
                <c:pt idx="10">
                  <c:v>53.6</c:v>
                </c:pt>
                <c:pt idx="11">
                  <c:v>84.1</c:v>
                </c:pt>
                <c:pt idx="12">
                  <c:v>28.1</c:v>
                </c:pt>
                <c:pt idx="13">
                  <c:v>25.7</c:v>
                </c:pt>
                <c:pt idx="14">
                  <c:v>19.7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7BBC-496F-B693-7B63674C9E52}"/>
            </c:ext>
          </c:extLst>
        </c:ser>
        <c:ser>
          <c:idx val="3"/>
          <c:order val="3"/>
          <c:tx>
            <c:strRef>
              <c:f>Лист2!$B$32</c:f>
              <c:strCache>
                <c:ptCount val="1"/>
                <c:pt idx="0">
                  <c:v>3, 4 группы (дети, имеющие хронические заболевания)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Лист2!$C$27:$Q$28</c:f>
              <c:multiLvlStrCache>
                <c:ptCount val="15"/>
                <c:lvl>
                  <c:pt idx="0">
                    <c:v>Новорожденные</c:v>
                  </c:pt>
                  <c:pt idx="1">
                    <c:v>1 год</c:v>
                  </c:pt>
                  <c:pt idx="2">
                    <c:v>2 года</c:v>
                  </c:pt>
                  <c:pt idx="3">
                    <c:v>Новорожденные</c:v>
                  </c:pt>
                  <c:pt idx="4">
                    <c:v>1 год</c:v>
                  </c:pt>
                  <c:pt idx="5">
                    <c:v>2 года</c:v>
                  </c:pt>
                  <c:pt idx="6">
                    <c:v>Новорожденные</c:v>
                  </c:pt>
                  <c:pt idx="7">
                    <c:v>1 год</c:v>
                  </c:pt>
                  <c:pt idx="8">
                    <c:v>2 года</c:v>
                  </c:pt>
                  <c:pt idx="9">
                    <c:v>Новорожденные</c:v>
                  </c:pt>
                  <c:pt idx="10">
                    <c:v>1 год</c:v>
                  </c:pt>
                  <c:pt idx="11">
                    <c:v>2 года</c:v>
                  </c:pt>
                  <c:pt idx="12">
                    <c:v>Новорожденные</c:v>
                  </c:pt>
                  <c:pt idx="13">
                    <c:v>1 год</c:v>
                  </c:pt>
                  <c:pt idx="14">
                    <c:v>2 года</c:v>
                  </c:pt>
                </c:lvl>
                <c:lvl>
                  <c:pt idx="0">
                    <c:v>1995 г.р.</c:v>
                  </c:pt>
                  <c:pt idx="3">
                    <c:v>1998 г.р.</c:v>
                  </c:pt>
                  <c:pt idx="6">
                    <c:v>2001 г.р.</c:v>
                  </c:pt>
                  <c:pt idx="9">
                    <c:v>2005 г.р.</c:v>
                  </c:pt>
                  <c:pt idx="12">
                    <c:v>2014 г.р.</c:v>
                  </c:pt>
                </c:lvl>
              </c:multiLvlStrCache>
            </c:multiLvlStrRef>
          </c:cat>
          <c:val>
            <c:numRef>
              <c:f>Лист2!$C$32:$Q$32</c:f>
              <c:numCache>
                <c:formatCode>General</c:formatCode>
                <c:ptCount val="15"/>
                <c:pt idx="0">
                  <c:v>2.8</c:v>
                </c:pt>
                <c:pt idx="1">
                  <c:v>7</c:v>
                </c:pt>
                <c:pt idx="2">
                  <c:v>13</c:v>
                </c:pt>
                <c:pt idx="3">
                  <c:v>9</c:v>
                </c:pt>
                <c:pt idx="4">
                  <c:v>12</c:v>
                </c:pt>
                <c:pt idx="5">
                  <c:v>16.100000000000001</c:v>
                </c:pt>
                <c:pt idx="6">
                  <c:v>3.8</c:v>
                </c:pt>
                <c:pt idx="7">
                  <c:v>7.1</c:v>
                </c:pt>
                <c:pt idx="8">
                  <c:v>11.4</c:v>
                </c:pt>
                <c:pt idx="9">
                  <c:v>2.5</c:v>
                </c:pt>
                <c:pt idx="10">
                  <c:v>4</c:v>
                </c:pt>
                <c:pt idx="11">
                  <c:v>9.3000000000000007</c:v>
                </c:pt>
                <c:pt idx="12">
                  <c:v>2.6</c:v>
                </c:pt>
                <c:pt idx="13">
                  <c:v>4.3</c:v>
                </c:pt>
                <c:pt idx="14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BBC-496F-B693-7B63674C9E52}"/>
            </c:ext>
          </c:extLst>
        </c:ser>
        <c:ser>
          <c:idx val="4"/>
          <c:order val="4"/>
          <c:tx>
            <c:strRef>
              <c:f>Лист2!$B$33</c:f>
              <c:strCache>
                <c:ptCount val="1"/>
                <c:pt idx="0">
                  <c:v>инвалиды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4"/>
              <c:layout>
                <c:manualLayout>
                  <c:x val="3.8671705683032756E-2"/>
                  <c:y val="-1.398632160074261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BBC-496F-B693-7B63674C9E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Лист2!$C$27:$Q$28</c:f>
              <c:multiLvlStrCache>
                <c:ptCount val="15"/>
                <c:lvl>
                  <c:pt idx="0">
                    <c:v>Новорожденные</c:v>
                  </c:pt>
                  <c:pt idx="1">
                    <c:v>1 год</c:v>
                  </c:pt>
                  <c:pt idx="2">
                    <c:v>2 года</c:v>
                  </c:pt>
                  <c:pt idx="3">
                    <c:v>Новорожденные</c:v>
                  </c:pt>
                  <c:pt idx="4">
                    <c:v>1 год</c:v>
                  </c:pt>
                  <c:pt idx="5">
                    <c:v>2 года</c:v>
                  </c:pt>
                  <c:pt idx="6">
                    <c:v>Новорожденные</c:v>
                  </c:pt>
                  <c:pt idx="7">
                    <c:v>1 год</c:v>
                  </c:pt>
                  <c:pt idx="8">
                    <c:v>2 года</c:v>
                  </c:pt>
                  <c:pt idx="9">
                    <c:v>Новорожденные</c:v>
                  </c:pt>
                  <c:pt idx="10">
                    <c:v>1 год</c:v>
                  </c:pt>
                  <c:pt idx="11">
                    <c:v>2 года</c:v>
                  </c:pt>
                  <c:pt idx="12">
                    <c:v>Новорожденные</c:v>
                  </c:pt>
                  <c:pt idx="13">
                    <c:v>1 год</c:v>
                  </c:pt>
                  <c:pt idx="14">
                    <c:v>2 года</c:v>
                  </c:pt>
                </c:lvl>
                <c:lvl>
                  <c:pt idx="0">
                    <c:v>1995 г.р.</c:v>
                  </c:pt>
                  <c:pt idx="3">
                    <c:v>1998 г.р.</c:v>
                  </c:pt>
                  <c:pt idx="6">
                    <c:v>2001 г.р.</c:v>
                  </c:pt>
                  <c:pt idx="9">
                    <c:v>2005 г.р.</c:v>
                  </c:pt>
                  <c:pt idx="12">
                    <c:v>2014 г.р.</c:v>
                  </c:pt>
                </c:lvl>
              </c:multiLvlStrCache>
            </c:multiLvlStrRef>
          </c:cat>
          <c:val>
            <c:numRef>
              <c:f>Лист2!$C$33:$Q$33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BBC-496F-B693-7B63674C9E5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0679168"/>
        <c:axId val="130680704"/>
      </c:barChart>
      <c:catAx>
        <c:axId val="13067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680704"/>
        <c:crosses val="autoZero"/>
        <c:auto val="1"/>
        <c:lblAlgn val="ctr"/>
        <c:lblOffset val="100"/>
        <c:noMultiLvlLbl val="0"/>
      </c:catAx>
      <c:valAx>
        <c:axId val="13068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67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011392282538704"/>
          <c:y val="0.14943179063942974"/>
          <c:w val="0.21742289423228917"/>
          <c:h val="0.8487582422362950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8714084868744643E-2"/>
          <c:y val="5.0056882821387941E-2"/>
          <c:w val="0.92696308483827583"/>
          <c:h val="0.71445644393265073"/>
        </c:manualLayout>
      </c:layout>
      <c:lineChart>
        <c:grouping val="standard"/>
        <c:varyColors val="0"/>
        <c:ser>
          <c:idx val="0"/>
          <c:order val="0"/>
          <c:tx>
            <c:strRef>
              <c:f>Лист6!$D$4</c:f>
              <c:strCache>
                <c:ptCount val="1"/>
                <c:pt idx="0">
                  <c:v>Дети 1995 г.р.</c:v>
                </c:pt>
              </c:strCache>
            </c:strRef>
          </c:tx>
          <c:dLbls>
            <c:dLbl>
              <c:idx val="0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47-40A4-9E18-4F051B96B59A}"/>
                </c:ext>
              </c:extLst>
            </c:dLbl>
            <c:dLbl>
              <c:idx val="15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447-40A4-9E18-4F051B96B59A}"/>
                </c:ext>
              </c:extLst>
            </c:dLbl>
            <c:dLbl>
              <c:idx val="16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447-40A4-9E18-4F051B96B59A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Лист6!$C$5:$C$21</c:f>
              <c:strCache>
                <c:ptCount val="17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5 лет</c:v>
                </c:pt>
                <c:pt idx="5">
                  <c:v>6 лет</c:v>
                </c:pt>
                <c:pt idx="6">
                  <c:v>7 лет</c:v>
                </c:pt>
                <c:pt idx="7">
                  <c:v>8 лет</c:v>
                </c:pt>
                <c:pt idx="8">
                  <c:v>9 лет</c:v>
                </c:pt>
                <c:pt idx="9">
                  <c:v>10 лет</c:v>
                </c:pt>
                <c:pt idx="10">
                  <c:v>11 лет</c:v>
                </c:pt>
                <c:pt idx="11">
                  <c:v>12 лет</c:v>
                </c:pt>
                <c:pt idx="12">
                  <c:v>13 лет</c:v>
                </c:pt>
                <c:pt idx="13">
                  <c:v>14 лет</c:v>
                </c:pt>
                <c:pt idx="14">
                  <c:v>15 лет</c:v>
                </c:pt>
                <c:pt idx="15">
                  <c:v>16 лет</c:v>
                </c:pt>
                <c:pt idx="16">
                  <c:v>17 лет</c:v>
                </c:pt>
              </c:strCache>
            </c:strRef>
          </c:cat>
          <c:val>
            <c:numRef>
              <c:f>Лист6!$D$5:$D$21</c:f>
              <c:numCache>
                <c:formatCode>General</c:formatCode>
                <c:ptCount val="17"/>
                <c:pt idx="0">
                  <c:v>34.9</c:v>
                </c:pt>
                <c:pt idx="1">
                  <c:v>15.2</c:v>
                </c:pt>
                <c:pt idx="2">
                  <c:v>14.3</c:v>
                </c:pt>
                <c:pt idx="3">
                  <c:v>14.5</c:v>
                </c:pt>
                <c:pt idx="4">
                  <c:v>12.9</c:v>
                </c:pt>
                <c:pt idx="5">
                  <c:v>19.3</c:v>
                </c:pt>
                <c:pt idx="6">
                  <c:v>18</c:v>
                </c:pt>
                <c:pt idx="7">
                  <c:v>26.5</c:v>
                </c:pt>
                <c:pt idx="8">
                  <c:v>26.8</c:v>
                </c:pt>
                <c:pt idx="9">
                  <c:v>20</c:v>
                </c:pt>
                <c:pt idx="10">
                  <c:v>33.9</c:v>
                </c:pt>
                <c:pt idx="11">
                  <c:v>38.4</c:v>
                </c:pt>
                <c:pt idx="12">
                  <c:v>36.9</c:v>
                </c:pt>
                <c:pt idx="13">
                  <c:v>35.799999999999997</c:v>
                </c:pt>
                <c:pt idx="14">
                  <c:v>38.700000000000003</c:v>
                </c:pt>
                <c:pt idx="15">
                  <c:v>53.1</c:v>
                </c:pt>
                <c:pt idx="16">
                  <c:v>49.3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447-40A4-9E18-4F051B96B59A}"/>
            </c:ext>
          </c:extLst>
        </c:ser>
        <c:ser>
          <c:idx val="1"/>
          <c:order val="1"/>
          <c:tx>
            <c:strRef>
              <c:f>Лист6!$E$4</c:f>
              <c:strCache>
                <c:ptCount val="1"/>
                <c:pt idx="0">
                  <c:v>Дети 1998 г.р.</c:v>
                </c:pt>
              </c:strCache>
            </c:strRef>
          </c:tx>
          <c:dLbls>
            <c:dLbl>
              <c:idx val="0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447-40A4-9E18-4F051B96B59A}"/>
                </c:ext>
              </c:extLst>
            </c:dLbl>
            <c:dLbl>
              <c:idx val="13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447-40A4-9E18-4F051B96B59A}"/>
                </c:ext>
              </c:extLst>
            </c:dLbl>
            <c:dLbl>
              <c:idx val="16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447-40A4-9E18-4F051B96B59A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Лист6!$C$5:$C$21</c:f>
              <c:strCache>
                <c:ptCount val="17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5 лет</c:v>
                </c:pt>
                <c:pt idx="5">
                  <c:v>6 лет</c:v>
                </c:pt>
                <c:pt idx="6">
                  <c:v>7 лет</c:v>
                </c:pt>
                <c:pt idx="7">
                  <c:v>8 лет</c:v>
                </c:pt>
                <c:pt idx="8">
                  <c:v>9 лет</c:v>
                </c:pt>
                <c:pt idx="9">
                  <c:v>10 лет</c:v>
                </c:pt>
                <c:pt idx="10">
                  <c:v>11 лет</c:v>
                </c:pt>
                <c:pt idx="11">
                  <c:v>12 лет</c:v>
                </c:pt>
                <c:pt idx="12">
                  <c:v>13 лет</c:v>
                </c:pt>
                <c:pt idx="13">
                  <c:v>14 лет</c:v>
                </c:pt>
                <c:pt idx="14">
                  <c:v>15 лет</c:v>
                </c:pt>
                <c:pt idx="15">
                  <c:v>16 лет</c:v>
                </c:pt>
                <c:pt idx="16">
                  <c:v>17 лет</c:v>
                </c:pt>
              </c:strCache>
            </c:strRef>
          </c:cat>
          <c:val>
            <c:numRef>
              <c:f>Лист6!$E$5:$E$21</c:f>
              <c:numCache>
                <c:formatCode>General</c:formatCode>
                <c:ptCount val="17"/>
                <c:pt idx="0">
                  <c:v>20.7</c:v>
                </c:pt>
                <c:pt idx="1">
                  <c:v>4.9000000000000004</c:v>
                </c:pt>
                <c:pt idx="2">
                  <c:v>6.3</c:v>
                </c:pt>
                <c:pt idx="3">
                  <c:v>13.1</c:v>
                </c:pt>
                <c:pt idx="4">
                  <c:v>12.9</c:v>
                </c:pt>
                <c:pt idx="5">
                  <c:v>21.5</c:v>
                </c:pt>
                <c:pt idx="6">
                  <c:v>16</c:v>
                </c:pt>
                <c:pt idx="7">
                  <c:v>29.9</c:v>
                </c:pt>
                <c:pt idx="8">
                  <c:v>21.5</c:v>
                </c:pt>
                <c:pt idx="9">
                  <c:v>29.9</c:v>
                </c:pt>
                <c:pt idx="10">
                  <c:v>32.9</c:v>
                </c:pt>
                <c:pt idx="11">
                  <c:v>22.9</c:v>
                </c:pt>
                <c:pt idx="12">
                  <c:v>27.6</c:v>
                </c:pt>
                <c:pt idx="13">
                  <c:v>41.1</c:v>
                </c:pt>
                <c:pt idx="14">
                  <c:v>28.2</c:v>
                </c:pt>
                <c:pt idx="15">
                  <c:v>26.7</c:v>
                </c:pt>
                <c:pt idx="16" formatCode="0.0">
                  <c:v>33.333333333333329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447-40A4-9E18-4F051B96B59A}"/>
            </c:ext>
          </c:extLst>
        </c:ser>
        <c:ser>
          <c:idx val="2"/>
          <c:order val="2"/>
          <c:tx>
            <c:strRef>
              <c:f>Лист6!$F$4</c:f>
              <c:strCache>
                <c:ptCount val="1"/>
                <c:pt idx="0">
                  <c:v>Дети 2001 г.р.</c:v>
                </c:pt>
              </c:strCache>
            </c:strRef>
          </c:tx>
          <c:dLbls>
            <c:dLbl>
              <c:idx val="0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447-40A4-9E18-4F051B96B59A}"/>
                </c:ext>
              </c:extLst>
            </c:dLbl>
            <c:dLbl>
              <c:idx val="12"/>
              <c:layout>
                <c:manualLayout>
                  <c:x val="-3.9370356116317694E-2"/>
                  <c:y val="4.362053422453766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447-40A4-9E18-4F051B96B59A}"/>
                </c:ext>
              </c:extLst>
            </c:dLbl>
            <c:dLbl>
              <c:idx val="14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447-40A4-9E18-4F051B96B59A}"/>
                </c:ext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Лист6!$C$5:$C$21</c:f>
              <c:strCache>
                <c:ptCount val="17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5 лет</c:v>
                </c:pt>
                <c:pt idx="5">
                  <c:v>6 лет</c:v>
                </c:pt>
                <c:pt idx="6">
                  <c:v>7 лет</c:v>
                </c:pt>
                <c:pt idx="7">
                  <c:v>8 лет</c:v>
                </c:pt>
                <c:pt idx="8">
                  <c:v>9 лет</c:v>
                </c:pt>
                <c:pt idx="9">
                  <c:v>10 лет</c:v>
                </c:pt>
                <c:pt idx="10">
                  <c:v>11 лет</c:v>
                </c:pt>
                <c:pt idx="11">
                  <c:v>12 лет</c:v>
                </c:pt>
                <c:pt idx="12">
                  <c:v>13 лет</c:v>
                </c:pt>
                <c:pt idx="13">
                  <c:v>14 лет</c:v>
                </c:pt>
                <c:pt idx="14">
                  <c:v>15 лет</c:v>
                </c:pt>
                <c:pt idx="15">
                  <c:v>16 лет</c:v>
                </c:pt>
                <c:pt idx="16">
                  <c:v>17 лет</c:v>
                </c:pt>
              </c:strCache>
            </c:strRef>
          </c:cat>
          <c:val>
            <c:numRef>
              <c:f>Лист6!$F$5:$F$21</c:f>
              <c:numCache>
                <c:formatCode>General</c:formatCode>
                <c:ptCount val="17"/>
                <c:pt idx="0">
                  <c:v>10.7</c:v>
                </c:pt>
                <c:pt idx="1">
                  <c:v>4.7</c:v>
                </c:pt>
                <c:pt idx="2">
                  <c:v>7.7</c:v>
                </c:pt>
                <c:pt idx="3">
                  <c:v>9.8000000000000007</c:v>
                </c:pt>
                <c:pt idx="4">
                  <c:v>15.4</c:v>
                </c:pt>
                <c:pt idx="5">
                  <c:v>16.2</c:v>
                </c:pt>
                <c:pt idx="6">
                  <c:v>18.7</c:v>
                </c:pt>
                <c:pt idx="7">
                  <c:v>24.3</c:v>
                </c:pt>
                <c:pt idx="8">
                  <c:v>29.8</c:v>
                </c:pt>
                <c:pt idx="9">
                  <c:v>19.8</c:v>
                </c:pt>
                <c:pt idx="10">
                  <c:v>25.6</c:v>
                </c:pt>
                <c:pt idx="11">
                  <c:v>28.2</c:v>
                </c:pt>
                <c:pt idx="12">
                  <c:v>32.299999999999997</c:v>
                </c:pt>
                <c:pt idx="13" formatCode="0.0">
                  <c:v>14.814814814814813</c:v>
                </c:pt>
                <c:pt idx="14" formatCode="0.0">
                  <c:v>21.951219512195124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D447-40A4-9E18-4F051B96B59A}"/>
            </c:ext>
          </c:extLst>
        </c:ser>
        <c:ser>
          <c:idx val="3"/>
          <c:order val="3"/>
          <c:tx>
            <c:strRef>
              <c:f>Лист6!$G$4</c:f>
              <c:strCache>
                <c:ptCount val="1"/>
                <c:pt idx="0">
                  <c:v>Дети 2004 г.р.</c:v>
                </c:pt>
              </c:strCache>
            </c:strRef>
          </c:tx>
          <c:dLbls>
            <c:dLbl>
              <c:idx val="0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D447-40A4-9E18-4F051B96B59A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D447-40A4-9E18-4F051B96B59A}"/>
                </c:ext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Лист6!$C$5:$C$21</c:f>
              <c:strCache>
                <c:ptCount val="17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5 лет</c:v>
                </c:pt>
                <c:pt idx="5">
                  <c:v>6 лет</c:v>
                </c:pt>
                <c:pt idx="6">
                  <c:v>7 лет</c:v>
                </c:pt>
                <c:pt idx="7">
                  <c:v>8 лет</c:v>
                </c:pt>
                <c:pt idx="8">
                  <c:v>9 лет</c:v>
                </c:pt>
                <c:pt idx="9">
                  <c:v>10 лет</c:v>
                </c:pt>
                <c:pt idx="10">
                  <c:v>11 лет</c:v>
                </c:pt>
                <c:pt idx="11">
                  <c:v>12 лет</c:v>
                </c:pt>
                <c:pt idx="12">
                  <c:v>13 лет</c:v>
                </c:pt>
                <c:pt idx="13">
                  <c:v>14 лет</c:v>
                </c:pt>
                <c:pt idx="14">
                  <c:v>15 лет</c:v>
                </c:pt>
                <c:pt idx="15">
                  <c:v>16 лет</c:v>
                </c:pt>
                <c:pt idx="16">
                  <c:v>17 лет</c:v>
                </c:pt>
              </c:strCache>
            </c:strRef>
          </c:cat>
          <c:val>
            <c:numRef>
              <c:f>Лист6!$G$5:$G$21</c:f>
              <c:numCache>
                <c:formatCode>General</c:formatCode>
                <c:ptCount val="17"/>
                <c:pt idx="0">
                  <c:v>18.7</c:v>
                </c:pt>
                <c:pt idx="1">
                  <c:v>11.3</c:v>
                </c:pt>
                <c:pt idx="2">
                  <c:v>4.8</c:v>
                </c:pt>
                <c:pt idx="3">
                  <c:v>8.9</c:v>
                </c:pt>
                <c:pt idx="4">
                  <c:v>16.899999999999999</c:v>
                </c:pt>
                <c:pt idx="5">
                  <c:v>19.7</c:v>
                </c:pt>
                <c:pt idx="6">
                  <c:v>17.2</c:v>
                </c:pt>
                <c:pt idx="7">
                  <c:v>20.9</c:v>
                </c:pt>
                <c:pt idx="8">
                  <c:v>23.6</c:v>
                </c:pt>
                <c:pt idx="9">
                  <c:v>19.2</c:v>
                </c:pt>
                <c:pt idx="10" formatCode="0.0">
                  <c:v>17.241379310344829</c:v>
                </c:pt>
                <c:pt idx="11" formatCode="0.0">
                  <c:v>35.897435897435898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D447-40A4-9E18-4F051B96B59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0737280"/>
        <c:axId val="130738816"/>
      </c:lineChart>
      <c:catAx>
        <c:axId val="130737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0738816"/>
        <c:crosses val="autoZero"/>
        <c:auto val="1"/>
        <c:lblAlgn val="ctr"/>
        <c:lblOffset val="100"/>
        <c:noMultiLvlLbl val="0"/>
      </c:catAx>
      <c:valAx>
        <c:axId val="13073881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0737280"/>
        <c:crosses val="autoZero"/>
        <c:crossBetween val="between"/>
      </c:valAx>
      <c:spPr>
        <a:noFill/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Лист9!$B$5</c:f>
              <c:strCache>
                <c:ptCount val="1"/>
                <c:pt idx="0">
                  <c:v>Рост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Лист9!$C$3:$N$4</c:f>
              <c:multiLvlStrCache>
                <c:ptCount val="12"/>
                <c:lvl>
                  <c:pt idx="0">
                    <c:v>Вологда</c:v>
                  </c:pt>
                  <c:pt idx="1">
                    <c:v>Череповец</c:v>
                  </c:pt>
                  <c:pt idx="2">
                    <c:v>Районы</c:v>
                  </c:pt>
                  <c:pt idx="3">
                    <c:v>Вологда</c:v>
                  </c:pt>
                  <c:pt idx="4">
                    <c:v>Череповец</c:v>
                  </c:pt>
                  <c:pt idx="5">
                    <c:v>Районы</c:v>
                  </c:pt>
                  <c:pt idx="6">
                    <c:v>Вологда</c:v>
                  </c:pt>
                  <c:pt idx="7">
                    <c:v>Череповец</c:v>
                  </c:pt>
                  <c:pt idx="8">
                    <c:v>Районы</c:v>
                  </c:pt>
                  <c:pt idx="9">
                    <c:v>Вологда</c:v>
                  </c:pt>
                  <c:pt idx="10">
                    <c:v>Череповец</c:v>
                  </c:pt>
                  <c:pt idx="11">
                    <c:v>Районы</c:v>
                  </c:pt>
                </c:lvl>
                <c:lvl>
                  <c:pt idx="0">
                    <c:v>2 года в 2016 г.</c:v>
                  </c:pt>
                  <c:pt idx="3">
                    <c:v>12 лет в 2016 г.</c:v>
                  </c:pt>
                  <c:pt idx="6">
                    <c:v>15 лет в 2016 г.</c:v>
                  </c:pt>
                  <c:pt idx="9">
                    <c:v>17 лет в 2015 г.</c:v>
                  </c:pt>
                </c:lvl>
              </c:multiLvlStrCache>
            </c:multiLvlStrRef>
          </c:cat>
          <c:val>
            <c:numRef>
              <c:f>Лист9!$C$5:$N$5</c:f>
              <c:numCache>
                <c:formatCode>General</c:formatCode>
                <c:ptCount val="12"/>
                <c:pt idx="0">
                  <c:v>88</c:v>
                </c:pt>
                <c:pt idx="1">
                  <c:v>87</c:v>
                </c:pt>
                <c:pt idx="2">
                  <c:v>86</c:v>
                </c:pt>
                <c:pt idx="3">
                  <c:v>151</c:v>
                </c:pt>
                <c:pt idx="4">
                  <c:v>149</c:v>
                </c:pt>
                <c:pt idx="5">
                  <c:v>149</c:v>
                </c:pt>
                <c:pt idx="6">
                  <c:v>166</c:v>
                </c:pt>
                <c:pt idx="7">
                  <c:v>164</c:v>
                </c:pt>
                <c:pt idx="8">
                  <c:v>165</c:v>
                </c:pt>
                <c:pt idx="9">
                  <c:v>171</c:v>
                </c:pt>
                <c:pt idx="10">
                  <c:v>177</c:v>
                </c:pt>
                <c:pt idx="11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4E-4A76-A4AF-D9EDB5E5695C}"/>
            </c:ext>
          </c:extLst>
        </c:ser>
        <c:ser>
          <c:idx val="1"/>
          <c:order val="1"/>
          <c:tx>
            <c:strRef>
              <c:f>Лист9!$B$6</c:f>
              <c:strCache>
                <c:ptCount val="1"/>
                <c:pt idx="0">
                  <c:v>Вес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Лист9!$C$3:$N$4</c:f>
              <c:multiLvlStrCache>
                <c:ptCount val="12"/>
                <c:lvl>
                  <c:pt idx="0">
                    <c:v>Вологда</c:v>
                  </c:pt>
                  <c:pt idx="1">
                    <c:v>Череповец</c:v>
                  </c:pt>
                  <c:pt idx="2">
                    <c:v>Районы</c:v>
                  </c:pt>
                  <c:pt idx="3">
                    <c:v>Вологда</c:v>
                  </c:pt>
                  <c:pt idx="4">
                    <c:v>Череповец</c:v>
                  </c:pt>
                  <c:pt idx="5">
                    <c:v>Районы</c:v>
                  </c:pt>
                  <c:pt idx="6">
                    <c:v>Вологда</c:v>
                  </c:pt>
                  <c:pt idx="7">
                    <c:v>Череповец</c:v>
                  </c:pt>
                  <c:pt idx="8">
                    <c:v>Районы</c:v>
                  </c:pt>
                  <c:pt idx="9">
                    <c:v>Вологда</c:v>
                  </c:pt>
                  <c:pt idx="10">
                    <c:v>Череповец</c:v>
                  </c:pt>
                  <c:pt idx="11">
                    <c:v>Районы</c:v>
                  </c:pt>
                </c:lvl>
                <c:lvl>
                  <c:pt idx="0">
                    <c:v>2 года в 2016 г.</c:v>
                  </c:pt>
                  <c:pt idx="3">
                    <c:v>12 лет в 2016 г.</c:v>
                  </c:pt>
                  <c:pt idx="6">
                    <c:v>15 лет в 2016 г.</c:v>
                  </c:pt>
                  <c:pt idx="9">
                    <c:v>17 лет в 2015 г.</c:v>
                  </c:pt>
                </c:lvl>
              </c:multiLvlStrCache>
            </c:multiLvlStrRef>
          </c:cat>
          <c:val>
            <c:numRef>
              <c:f>Лист9!$C$6:$N$6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40</c:v>
                </c:pt>
                <c:pt idx="4">
                  <c:v>39</c:v>
                </c:pt>
                <c:pt idx="5">
                  <c:v>51</c:v>
                </c:pt>
                <c:pt idx="6">
                  <c:v>58</c:v>
                </c:pt>
                <c:pt idx="7">
                  <c:v>56</c:v>
                </c:pt>
                <c:pt idx="8">
                  <c:v>58</c:v>
                </c:pt>
                <c:pt idx="9">
                  <c:v>62</c:v>
                </c:pt>
                <c:pt idx="10">
                  <c:v>66</c:v>
                </c:pt>
                <c:pt idx="1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4E-4A76-A4AF-D9EDB5E569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828864"/>
        <c:axId val="161830400"/>
      </c:barChart>
      <c:catAx>
        <c:axId val="161828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1830400"/>
        <c:crosses val="autoZero"/>
        <c:auto val="1"/>
        <c:lblAlgn val="ctr"/>
        <c:lblOffset val="100"/>
        <c:noMultiLvlLbl val="0"/>
      </c:catAx>
      <c:valAx>
        <c:axId val="16183040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61828864"/>
        <c:crosses val="autoZero"/>
        <c:crossBetween val="between"/>
      </c:valAx>
      <c:spPr>
        <a:noFill/>
        <a:ln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Лист4!$B$3</c:f>
              <c:strCache>
                <c:ptCount val="1"/>
                <c:pt idx="0">
                  <c:v>Только «5»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A3-47BD-BD97-25552F61FF0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A3-47BD-BD97-25552F61FF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Лист4!$G$2:$I$2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III+IV</c:v>
                </c:pt>
              </c:strCache>
            </c:strRef>
          </c:cat>
          <c:val>
            <c:numRef>
              <c:f>Лист4!$G$3:$I$3</c:f>
              <c:numCache>
                <c:formatCode>0.0%</c:formatCode>
                <c:ptCount val="3"/>
                <c:pt idx="0">
                  <c:v>0</c:v>
                </c:pt>
                <c:pt idx="1">
                  <c:v>5.3999999999999999E-2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A3-47BD-BD97-25552F61FF0D}"/>
            </c:ext>
          </c:extLst>
        </c:ser>
        <c:ser>
          <c:idx val="1"/>
          <c:order val="1"/>
          <c:tx>
            <c:strRef>
              <c:f>Лист4!$B$4</c:f>
              <c:strCache>
                <c:ptCount val="1"/>
                <c:pt idx="0">
                  <c:v>«4» и «5»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Лист4!$G$2:$I$2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III+IV</c:v>
                </c:pt>
              </c:strCache>
            </c:strRef>
          </c:cat>
          <c:val>
            <c:numRef>
              <c:f>Лист4!$G$4:$I$4</c:f>
              <c:numCache>
                <c:formatCode>0.0%</c:formatCode>
                <c:ptCount val="3"/>
                <c:pt idx="0">
                  <c:v>0.6</c:v>
                </c:pt>
                <c:pt idx="1">
                  <c:v>0.67600000000000005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A3-47BD-BD97-25552F61FF0D}"/>
            </c:ext>
          </c:extLst>
        </c:ser>
        <c:ser>
          <c:idx val="2"/>
          <c:order val="2"/>
          <c:tx>
            <c:strRef>
              <c:f>Лист4!$B$5</c:f>
              <c:strCache>
                <c:ptCount val="1"/>
                <c:pt idx="0">
                  <c:v>«4» и «3»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Лист4!$G$2:$I$2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III+IV</c:v>
                </c:pt>
              </c:strCache>
            </c:strRef>
          </c:cat>
          <c:val>
            <c:numRef>
              <c:f>Лист4!$G$5:$I$5</c:f>
              <c:numCache>
                <c:formatCode>0.0%</c:formatCode>
                <c:ptCount val="3"/>
                <c:pt idx="0">
                  <c:v>0.33300000000000002</c:v>
                </c:pt>
                <c:pt idx="1">
                  <c:v>0.189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A3-47BD-BD97-25552F61FF0D}"/>
            </c:ext>
          </c:extLst>
        </c:ser>
        <c:ser>
          <c:idx val="3"/>
          <c:order val="3"/>
          <c:tx>
            <c:strRef>
              <c:f>Лист4!$B$6</c:f>
              <c:strCache>
                <c:ptCount val="1"/>
                <c:pt idx="0">
                  <c:v>Больше «3»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4.079030411259408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7A3-47BD-BD97-25552F61FF0D}"/>
                </c:ext>
              </c:extLst>
            </c:dLbl>
            <c:dLbl>
              <c:idx val="1"/>
              <c:layout>
                <c:manualLayout>
                  <c:x val="0"/>
                  <c:y val="-5.098788014074261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7A3-47BD-BD97-25552F61FF0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A3-47BD-BD97-25552F61FF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Лист4!$G$2:$I$2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III+IV</c:v>
                </c:pt>
              </c:strCache>
            </c:strRef>
          </c:cat>
          <c:val>
            <c:numRef>
              <c:f>Лист4!$G$6:$I$6</c:f>
              <c:numCache>
                <c:formatCode>0.0%</c:formatCode>
                <c:ptCount val="3"/>
                <c:pt idx="0">
                  <c:v>6.7000000000000004E-2</c:v>
                </c:pt>
                <c:pt idx="1">
                  <c:v>8.1000000000000003E-2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7A3-47BD-BD97-25552F61FF0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5187072"/>
        <c:axId val="175188608"/>
      </c:barChart>
      <c:catAx>
        <c:axId val="1751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188608"/>
        <c:crosses val="autoZero"/>
        <c:auto val="1"/>
        <c:lblAlgn val="ctr"/>
        <c:lblOffset val="100"/>
        <c:noMultiLvlLbl val="0"/>
      </c:catAx>
      <c:valAx>
        <c:axId val="17518860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17518707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 b="0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88DD-2528-405F-A3CB-B1B30A08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24</Pages>
  <Words>5913</Words>
  <Characters>33707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Груздева</dc:creator>
  <cp:keywords/>
  <dc:description/>
  <cp:lastModifiedBy>Мария А. Груздева</cp:lastModifiedBy>
  <cp:revision>6</cp:revision>
  <dcterms:created xsi:type="dcterms:W3CDTF">2017-01-23T11:42:00Z</dcterms:created>
  <dcterms:modified xsi:type="dcterms:W3CDTF">2017-03-15T12:13:00Z</dcterms:modified>
</cp:coreProperties>
</file>